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43C1" w:rsidRPr="00B13879" w:rsidRDefault="000243C1" w:rsidP="00B13879">
      <w:pPr>
        <w:pStyle w:val="Heading1"/>
        <w:spacing w:before="200" w:after="200"/>
        <w:contextualSpacing w:val="0"/>
        <w:jc w:val="center"/>
        <w:rPr>
          <w:sz w:val="36"/>
          <w:szCs w:val="36"/>
        </w:rPr>
      </w:pPr>
      <w:bookmarkStart w:id="0" w:name="_GoBack"/>
      <w:bookmarkEnd w:id="0"/>
      <w:r w:rsidRPr="00B13879">
        <w:rPr>
          <w:sz w:val="36"/>
          <w:szCs w:val="36"/>
        </w:rPr>
        <w:t>How the National Disability Insurance Scheme (NDIS) and health services will work together</w:t>
      </w:r>
    </w:p>
    <w:p w:rsidR="000243C1" w:rsidRPr="00B13879" w:rsidRDefault="000243C1" w:rsidP="00B13879">
      <w:pPr>
        <w:pStyle w:val="Heading2"/>
        <w:spacing w:before="0" w:after="200"/>
        <w:rPr>
          <w:sz w:val="28"/>
          <w:szCs w:val="28"/>
        </w:rPr>
      </w:pPr>
      <w:r w:rsidRPr="00B13879">
        <w:rPr>
          <w:sz w:val="28"/>
          <w:szCs w:val="28"/>
        </w:rPr>
        <w:t>Supporting people with disability to participate fully in community life</w:t>
      </w:r>
    </w:p>
    <w:p w:rsidR="000243C1" w:rsidRPr="0081239F" w:rsidRDefault="000243C1" w:rsidP="000243C1">
      <w:pPr>
        <w:rPr>
          <w:rFonts w:cs="Arial"/>
          <w:sz w:val="24"/>
          <w:szCs w:val="24"/>
        </w:rPr>
      </w:pPr>
      <w:r>
        <w:rPr>
          <w:rFonts w:cs="Arial"/>
          <w:sz w:val="24"/>
          <w:szCs w:val="24"/>
        </w:rPr>
        <w:t xml:space="preserve">The National Disability Insurance Agency (NDIA) will support NDIS participants to engage fully in everyday life by placing </w:t>
      </w:r>
      <w:r w:rsidRPr="0050744D">
        <w:rPr>
          <w:rFonts w:cs="Arial"/>
          <w:sz w:val="24"/>
          <w:szCs w:val="24"/>
        </w:rPr>
        <w:t>participant</w:t>
      </w:r>
      <w:r>
        <w:rPr>
          <w:rFonts w:cs="Arial"/>
          <w:sz w:val="24"/>
          <w:szCs w:val="24"/>
        </w:rPr>
        <w:t xml:space="preserve">s at the centre of all decisions. </w:t>
      </w:r>
    </w:p>
    <w:p w:rsidR="000243C1" w:rsidRDefault="000243C1" w:rsidP="000243C1">
      <w:pPr>
        <w:rPr>
          <w:rFonts w:cs="Arial"/>
          <w:sz w:val="24"/>
          <w:szCs w:val="24"/>
        </w:rPr>
      </w:pPr>
      <w:r w:rsidRPr="0081239F">
        <w:rPr>
          <w:rFonts w:cs="Arial"/>
          <w:sz w:val="24"/>
          <w:szCs w:val="24"/>
        </w:rPr>
        <w:t xml:space="preserve">NDIS participants </w:t>
      </w:r>
      <w:r>
        <w:rPr>
          <w:rFonts w:cs="Arial"/>
          <w:sz w:val="24"/>
          <w:szCs w:val="24"/>
        </w:rPr>
        <w:t>may need regular and ongoing disability-related health supports as a regular part of their life to support them to undertake activities of daily living.</w:t>
      </w:r>
      <w:r w:rsidRPr="0081239F">
        <w:rPr>
          <w:rFonts w:cs="Arial"/>
          <w:sz w:val="24"/>
          <w:szCs w:val="24"/>
        </w:rPr>
        <w:t xml:space="preserve"> </w:t>
      </w:r>
    </w:p>
    <w:p w:rsidR="000243C1" w:rsidRPr="00B13879" w:rsidRDefault="000243C1" w:rsidP="00B13879">
      <w:pPr>
        <w:pStyle w:val="Heading3"/>
        <w:spacing w:before="0" w:after="200"/>
        <w:rPr>
          <w:sz w:val="24"/>
          <w:szCs w:val="24"/>
        </w:rPr>
      </w:pPr>
      <w:r w:rsidRPr="00B13879">
        <w:rPr>
          <w:sz w:val="24"/>
          <w:szCs w:val="24"/>
        </w:rPr>
        <w:t>Health supports provided by the NDIS</w:t>
      </w:r>
    </w:p>
    <w:p w:rsidR="000243C1" w:rsidRDefault="000243C1" w:rsidP="000243C1">
      <w:pPr>
        <w:rPr>
          <w:rFonts w:cs="Arial"/>
          <w:sz w:val="24"/>
          <w:szCs w:val="24"/>
        </w:rPr>
      </w:pPr>
      <w:r w:rsidRPr="005B1E6F">
        <w:rPr>
          <w:rFonts w:cs="Arial"/>
          <w:sz w:val="24"/>
          <w:szCs w:val="24"/>
        </w:rPr>
        <w:t>The NDIS will fund specific disability</w:t>
      </w:r>
      <w:r>
        <w:rPr>
          <w:rFonts w:cs="Arial"/>
          <w:sz w:val="24"/>
          <w:szCs w:val="24"/>
        </w:rPr>
        <w:t>-related</w:t>
      </w:r>
      <w:r w:rsidRPr="005B1E6F">
        <w:rPr>
          <w:rFonts w:cs="Arial"/>
          <w:sz w:val="24"/>
          <w:szCs w:val="24"/>
        </w:rPr>
        <w:t xml:space="preserve"> health supports where the supports are a regular part of the participant’s daily life, and result from the participant’s disability</w:t>
      </w:r>
      <w:r>
        <w:rPr>
          <w:rFonts w:cs="Arial"/>
          <w:sz w:val="24"/>
          <w:szCs w:val="24"/>
        </w:rPr>
        <w:t>. The disability-related health supports that the NDIS will fund include, but are not limited to, the following</w:t>
      </w:r>
      <w:r w:rsidR="005B2818">
        <w:rPr>
          <w:rFonts w:cs="Arial"/>
          <w:sz w:val="24"/>
          <w:szCs w:val="24"/>
        </w:rPr>
        <w:t>:</w:t>
      </w:r>
    </w:p>
    <w:tbl>
      <w:tblPr>
        <w:tblStyle w:val="TableGrid"/>
        <w:tblW w:w="0" w:type="auto"/>
        <w:tblLook w:val="04A0" w:firstRow="1" w:lastRow="0" w:firstColumn="1" w:lastColumn="0" w:noHBand="0" w:noVBand="1"/>
        <w:tblCaption w:val="Table 1: List of NDIS funded disability related health supports"/>
        <w:tblDescription w:val="Dysphagia supports: Development of oral eating and drinking care plans (OEDCP); Swallowing therapy associated with dysphagia provided by an allied health professional. &#10;Diabetic management supports: Development of diabetic management plan; Daily maintenance and care associated with diabetic management plan (where the participant is unable to self-manage due to their disability).&#10;Continence supports: Catheter changes; Cleaning of catheters; Consumables; Assessments, plans and reviews.&#10;Wound and pressure care supports: Wound care consumables (e.g. dressings); Lymphoedema machines; Lymphoedema garments.&#10;Respiratory supports: Tracheostomy changes; Tracheostomy clinical management; Tracheostomy equipment and consumables; Constant Positive Airway Pressure (CPAP) machines and consumables; Bi-level Positive Airway Pressure (BiPAP) machines and consumables; Air humidifier; Portable suction machine; Cough assist machine; Ventilator.&#10;Nutrition supports: Percutaneous Endoscopic Gastronomy (PEG) and HEN equipment (or similar) and consumables, excluding food formula; Thickeners and nutritional supplements; PEG stoma changes; Dietetic consultations; Development of nutritional meal plans; Development of meal time management plans.&#10;Podiatry and foot care supports: Podiatry diagnosis and assessment and development of podiatry care plan.&#10;Epilepsy supports: Epilepsy seizure monitoring; Epilepsy monitoring through assistive technology."/>
      </w:tblPr>
      <w:tblGrid>
        <w:gridCol w:w="4248"/>
        <w:gridCol w:w="5217"/>
      </w:tblGrid>
      <w:tr w:rsidR="002D4AE9" w:rsidTr="00E81051">
        <w:trPr>
          <w:trHeight w:val="351"/>
          <w:tblHeader/>
        </w:trPr>
        <w:tc>
          <w:tcPr>
            <w:tcW w:w="9465" w:type="dxa"/>
            <w:gridSpan w:val="2"/>
            <w:vAlign w:val="center"/>
          </w:tcPr>
          <w:p w:rsidR="002D4AE9" w:rsidRDefault="002D4AE9" w:rsidP="00E81051">
            <w:pPr>
              <w:rPr>
                <w:rFonts w:cs="Arial"/>
                <w:sz w:val="24"/>
                <w:szCs w:val="24"/>
              </w:rPr>
            </w:pPr>
            <w:r w:rsidRPr="00404F0A">
              <w:rPr>
                <w:rFonts w:cs="Arial"/>
                <w:b/>
                <w:szCs w:val="24"/>
              </w:rPr>
              <w:t xml:space="preserve">Table </w:t>
            </w:r>
            <w:r>
              <w:rPr>
                <w:rFonts w:cs="Arial"/>
                <w:b/>
                <w:szCs w:val="24"/>
              </w:rPr>
              <w:t>1:</w:t>
            </w:r>
            <w:r w:rsidRPr="00404F0A">
              <w:rPr>
                <w:rFonts w:cs="Arial"/>
                <w:b/>
                <w:szCs w:val="24"/>
              </w:rPr>
              <w:t xml:space="preserve"> List of </w:t>
            </w:r>
            <w:r>
              <w:rPr>
                <w:rFonts w:cs="Arial"/>
                <w:b/>
                <w:szCs w:val="24"/>
              </w:rPr>
              <w:t xml:space="preserve">NDIS funded </w:t>
            </w:r>
            <w:r w:rsidRPr="00404F0A">
              <w:rPr>
                <w:rFonts w:cs="Arial"/>
                <w:b/>
                <w:szCs w:val="24"/>
              </w:rPr>
              <w:t>disability-related health supports</w:t>
            </w:r>
          </w:p>
        </w:tc>
      </w:tr>
      <w:tr w:rsidR="002D4AE9" w:rsidTr="00E81051">
        <w:trPr>
          <w:trHeight w:val="1214"/>
        </w:trPr>
        <w:tc>
          <w:tcPr>
            <w:tcW w:w="4248" w:type="dxa"/>
          </w:tcPr>
          <w:p w:rsidR="002D4AE9" w:rsidRPr="00404F0A" w:rsidRDefault="002D4AE9" w:rsidP="00E81051">
            <w:pPr>
              <w:spacing w:before="60" w:after="60"/>
              <w:rPr>
                <w:rFonts w:cs="Arial"/>
                <w:szCs w:val="24"/>
              </w:rPr>
            </w:pPr>
            <w:r>
              <w:rPr>
                <w:rFonts w:cs="Arial"/>
                <w:szCs w:val="24"/>
              </w:rPr>
              <w:t>Dysphagia Supports</w:t>
            </w:r>
          </w:p>
          <w:p w:rsidR="002D4AE9" w:rsidRPr="00404F0A" w:rsidRDefault="002D4AE9" w:rsidP="00E81051">
            <w:pPr>
              <w:spacing w:before="60" w:after="60"/>
              <w:rPr>
                <w:rFonts w:cs="Arial"/>
                <w:szCs w:val="24"/>
              </w:rPr>
            </w:pPr>
          </w:p>
        </w:tc>
        <w:tc>
          <w:tcPr>
            <w:tcW w:w="5217" w:type="dxa"/>
          </w:tcPr>
          <w:p w:rsidR="002D4AE9" w:rsidRPr="000B6A6D" w:rsidRDefault="002D4AE9" w:rsidP="00E81051">
            <w:pPr>
              <w:pStyle w:val="ListParagraph"/>
              <w:numPr>
                <w:ilvl w:val="0"/>
                <w:numId w:val="1"/>
              </w:numPr>
              <w:spacing w:before="60" w:after="60"/>
              <w:rPr>
                <w:rFonts w:cs="Arial"/>
                <w:szCs w:val="24"/>
              </w:rPr>
            </w:pPr>
            <w:r w:rsidRPr="000B6A6D">
              <w:rPr>
                <w:rFonts w:cs="Arial"/>
                <w:szCs w:val="24"/>
              </w:rPr>
              <w:t>Development of oral eating and drinking care plans (OEDCP)</w:t>
            </w:r>
          </w:p>
          <w:p w:rsidR="002D4AE9" w:rsidRPr="00404F0A" w:rsidRDefault="002D4AE9" w:rsidP="00E81051">
            <w:pPr>
              <w:pStyle w:val="ListParagraph"/>
              <w:numPr>
                <w:ilvl w:val="0"/>
                <w:numId w:val="1"/>
              </w:numPr>
              <w:spacing w:before="60" w:after="60"/>
              <w:rPr>
                <w:rFonts w:cs="Arial"/>
                <w:szCs w:val="24"/>
              </w:rPr>
            </w:pPr>
            <w:r w:rsidRPr="000B6A6D">
              <w:rPr>
                <w:rFonts w:cs="Arial"/>
                <w:szCs w:val="24"/>
              </w:rPr>
              <w:t>Swallowing therapy associated with dysphagia provided by an allied health professional</w:t>
            </w:r>
          </w:p>
        </w:tc>
      </w:tr>
      <w:tr w:rsidR="002D4AE9" w:rsidTr="00E81051">
        <w:trPr>
          <w:trHeight w:val="1122"/>
        </w:trPr>
        <w:tc>
          <w:tcPr>
            <w:tcW w:w="4248" w:type="dxa"/>
          </w:tcPr>
          <w:p w:rsidR="002D4AE9" w:rsidRPr="00404F0A" w:rsidRDefault="002D4AE9" w:rsidP="00E81051">
            <w:pPr>
              <w:spacing w:before="60" w:after="60"/>
              <w:rPr>
                <w:rFonts w:cs="Arial"/>
                <w:szCs w:val="24"/>
              </w:rPr>
            </w:pPr>
            <w:r w:rsidRPr="00404F0A">
              <w:rPr>
                <w:rFonts w:cs="Arial"/>
                <w:szCs w:val="24"/>
              </w:rPr>
              <w:t>Diabetic Management Supports</w:t>
            </w:r>
          </w:p>
          <w:p w:rsidR="002D4AE9" w:rsidRPr="00404F0A" w:rsidRDefault="002D4AE9" w:rsidP="00E81051">
            <w:pPr>
              <w:spacing w:before="60" w:after="60"/>
              <w:rPr>
                <w:rFonts w:cs="Arial"/>
                <w:szCs w:val="24"/>
              </w:rPr>
            </w:pPr>
          </w:p>
        </w:tc>
        <w:tc>
          <w:tcPr>
            <w:tcW w:w="5217" w:type="dxa"/>
          </w:tcPr>
          <w:p w:rsidR="002D4AE9" w:rsidRPr="00CA4768" w:rsidRDefault="002D4AE9" w:rsidP="00E81051">
            <w:pPr>
              <w:pStyle w:val="ListParagraph"/>
              <w:numPr>
                <w:ilvl w:val="0"/>
                <w:numId w:val="1"/>
              </w:numPr>
              <w:spacing w:before="60" w:after="60"/>
              <w:rPr>
                <w:rFonts w:cs="Arial"/>
                <w:szCs w:val="24"/>
              </w:rPr>
            </w:pPr>
            <w:r w:rsidRPr="00CA4768">
              <w:rPr>
                <w:rFonts w:cs="Arial"/>
                <w:szCs w:val="24"/>
              </w:rPr>
              <w:t>Development of diabetic management plan</w:t>
            </w:r>
          </w:p>
          <w:p w:rsidR="002D4AE9" w:rsidRPr="00404F0A" w:rsidRDefault="002D4AE9" w:rsidP="00E81051">
            <w:pPr>
              <w:pStyle w:val="ListParagraph"/>
              <w:numPr>
                <w:ilvl w:val="0"/>
                <w:numId w:val="1"/>
              </w:numPr>
              <w:spacing w:before="60" w:after="60"/>
              <w:rPr>
                <w:rFonts w:cs="Arial"/>
                <w:szCs w:val="24"/>
              </w:rPr>
            </w:pPr>
            <w:r w:rsidRPr="00CA4768">
              <w:rPr>
                <w:rFonts w:cs="Arial"/>
                <w:szCs w:val="24"/>
              </w:rPr>
              <w:t>Daily maintenance and care associated with diabetic management plan (where participant is unable to self-manage due to their disability)</w:t>
            </w:r>
          </w:p>
        </w:tc>
      </w:tr>
      <w:tr w:rsidR="002D4AE9" w:rsidTr="00E81051">
        <w:trPr>
          <w:trHeight w:val="1122"/>
        </w:trPr>
        <w:tc>
          <w:tcPr>
            <w:tcW w:w="4248" w:type="dxa"/>
          </w:tcPr>
          <w:p w:rsidR="002D4AE9" w:rsidRPr="00404F0A" w:rsidRDefault="002D4AE9" w:rsidP="00E81051">
            <w:pPr>
              <w:spacing w:before="60" w:after="60"/>
              <w:rPr>
                <w:rFonts w:cs="Arial"/>
                <w:szCs w:val="24"/>
              </w:rPr>
            </w:pPr>
            <w:r w:rsidRPr="00404F0A">
              <w:rPr>
                <w:rFonts w:cs="Arial"/>
                <w:szCs w:val="24"/>
              </w:rPr>
              <w:t>Continence S</w:t>
            </w:r>
            <w:r>
              <w:rPr>
                <w:rFonts w:cs="Arial"/>
                <w:szCs w:val="24"/>
              </w:rPr>
              <w:t>upports</w:t>
            </w:r>
          </w:p>
          <w:p w:rsidR="002D4AE9" w:rsidRDefault="002D4AE9" w:rsidP="00E81051">
            <w:pPr>
              <w:rPr>
                <w:rFonts w:cs="Arial"/>
                <w:sz w:val="24"/>
                <w:szCs w:val="24"/>
              </w:rPr>
            </w:pPr>
          </w:p>
        </w:tc>
        <w:tc>
          <w:tcPr>
            <w:tcW w:w="5217" w:type="dxa"/>
          </w:tcPr>
          <w:p w:rsidR="002D4AE9" w:rsidRPr="000B6A6D" w:rsidRDefault="002D4AE9" w:rsidP="00E81051">
            <w:pPr>
              <w:pStyle w:val="ListParagraph"/>
              <w:numPr>
                <w:ilvl w:val="0"/>
                <w:numId w:val="1"/>
              </w:numPr>
              <w:spacing w:before="60" w:after="60"/>
              <w:rPr>
                <w:rFonts w:cs="Arial"/>
                <w:szCs w:val="24"/>
              </w:rPr>
            </w:pPr>
            <w:r w:rsidRPr="000B6A6D">
              <w:rPr>
                <w:rFonts w:cs="Arial"/>
                <w:szCs w:val="24"/>
              </w:rPr>
              <w:t xml:space="preserve">Catheter changes </w:t>
            </w:r>
          </w:p>
          <w:p w:rsidR="002D4AE9" w:rsidRPr="000B6A6D" w:rsidRDefault="002D4AE9" w:rsidP="00E81051">
            <w:pPr>
              <w:pStyle w:val="ListParagraph"/>
              <w:numPr>
                <w:ilvl w:val="0"/>
                <w:numId w:val="1"/>
              </w:numPr>
              <w:spacing w:before="60" w:after="60"/>
              <w:rPr>
                <w:rFonts w:cs="Arial"/>
                <w:szCs w:val="24"/>
              </w:rPr>
            </w:pPr>
            <w:r w:rsidRPr="000B6A6D">
              <w:rPr>
                <w:rFonts w:cs="Arial"/>
                <w:szCs w:val="24"/>
              </w:rPr>
              <w:t>Cleaning of catheters</w:t>
            </w:r>
          </w:p>
          <w:p w:rsidR="002D4AE9" w:rsidRDefault="002D4AE9" w:rsidP="00E81051">
            <w:pPr>
              <w:pStyle w:val="ListParagraph"/>
              <w:numPr>
                <w:ilvl w:val="0"/>
                <w:numId w:val="1"/>
              </w:numPr>
              <w:spacing w:before="60" w:after="60"/>
              <w:rPr>
                <w:rFonts w:cs="Arial"/>
                <w:szCs w:val="24"/>
              </w:rPr>
            </w:pPr>
            <w:r>
              <w:rPr>
                <w:rFonts w:cs="Arial"/>
                <w:szCs w:val="24"/>
              </w:rPr>
              <w:t>Consumables</w:t>
            </w:r>
          </w:p>
          <w:p w:rsidR="002D4AE9" w:rsidRPr="00404F0A" w:rsidRDefault="002D4AE9" w:rsidP="00E81051">
            <w:pPr>
              <w:pStyle w:val="ListParagraph"/>
              <w:numPr>
                <w:ilvl w:val="0"/>
                <w:numId w:val="1"/>
              </w:numPr>
              <w:spacing w:before="60" w:after="60"/>
              <w:rPr>
                <w:rFonts w:cs="Arial"/>
                <w:szCs w:val="24"/>
              </w:rPr>
            </w:pPr>
            <w:r w:rsidRPr="00404F0A">
              <w:rPr>
                <w:rFonts w:cs="Arial"/>
                <w:szCs w:val="24"/>
              </w:rPr>
              <w:t>Assessments, plans and reviews</w:t>
            </w:r>
          </w:p>
        </w:tc>
      </w:tr>
      <w:tr w:rsidR="002D4AE9" w:rsidTr="00E81051">
        <w:trPr>
          <w:trHeight w:val="883"/>
        </w:trPr>
        <w:tc>
          <w:tcPr>
            <w:tcW w:w="4248" w:type="dxa"/>
          </w:tcPr>
          <w:p w:rsidR="002D4AE9" w:rsidRDefault="002D4AE9" w:rsidP="00E81051">
            <w:pPr>
              <w:spacing w:before="60" w:after="60"/>
              <w:rPr>
                <w:rFonts w:cs="Arial"/>
                <w:sz w:val="24"/>
                <w:szCs w:val="24"/>
              </w:rPr>
            </w:pPr>
            <w:r w:rsidRPr="00404F0A">
              <w:rPr>
                <w:rFonts w:cs="Arial"/>
                <w:szCs w:val="24"/>
              </w:rPr>
              <w:t>W</w:t>
            </w:r>
            <w:r>
              <w:rPr>
                <w:rFonts w:cs="Arial"/>
                <w:szCs w:val="24"/>
              </w:rPr>
              <w:t>ound and Pressure Care Supports</w:t>
            </w:r>
          </w:p>
        </w:tc>
        <w:tc>
          <w:tcPr>
            <w:tcW w:w="5217" w:type="dxa"/>
          </w:tcPr>
          <w:p w:rsidR="002D4AE9" w:rsidRPr="000B6A6D" w:rsidRDefault="002D4AE9" w:rsidP="00E81051">
            <w:pPr>
              <w:pStyle w:val="ListParagraph"/>
              <w:numPr>
                <w:ilvl w:val="0"/>
                <w:numId w:val="1"/>
              </w:numPr>
              <w:spacing w:before="60" w:after="60"/>
              <w:rPr>
                <w:rFonts w:cs="Arial"/>
                <w:szCs w:val="24"/>
              </w:rPr>
            </w:pPr>
            <w:r w:rsidRPr="000B6A6D">
              <w:rPr>
                <w:rFonts w:cs="Arial"/>
                <w:szCs w:val="24"/>
              </w:rPr>
              <w:t>Wound care consumables (e.g. dressings)</w:t>
            </w:r>
          </w:p>
          <w:p w:rsidR="002D4AE9" w:rsidRPr="004A0C77" w:rsidRDefault="002D4AE9" w:rsidP="00E81051">
            <w:pPr>
              <w:pStyle w:val="ListParagraph"/>
              <w:numPr>
                <w:ilvl w:val="0"/>
                <w:numId w:val="1"/>
              </w:numPr>
              <w:spacing w:before="60" w:after="60"/>
              <w:rPr>
                <w:rFonts w:cs="Arial"/>
                <w:szCs w:val="24"/>
              </w:rPr>
            </w:pPr>
            <w:r w:rsidRPr="000B6A6D">
              <w:rPr>
                <w:rFonts w:cs="Arial"/>
                <w:szCs w:val="24"/>
              </w:rPr>
              <w:t>Lymph</w:t>
            </w:r>
            <w:r>
              <w:rPr>
                <w:rFonts w:cs="Arial"/>
                <w:szCs w:val="24"/>
              </w:rPr>
              <w:t>o</w:t>
            </w:r>
            <w:r w:rsidRPr="000B6A6D">
              <w:rPr>
                <w:rFonts w:cs="Arial"/>
                <w:szCs w:val="24"/>
              </w:rPr>
              <w:t>edema machines</w:t>
            </w:r>
          </w:p>
          <w:p w:rsidR="002D4AE9" w:rsidRPr="00404F0A" w:rsidRDefault="002D4AE9" w:rsidP="00E81051">
            <w:pPr>
              <w:pStyle w:val="ListParagraph"/>
              <w:numPr>
                <w:ilvl w:val="0"/>
                <w:numId w:val="1"/>
              </w:numPr>
              <w:spacing w:before="60" w:after="60"/>
              <w:rPr>
                <w:szCs w:val="24"/>
              </w:rPr>
            </w:pPr>
            <w:r w:rsidRPr="000B6A6D">
              <w:rPr>
                <w:rFonts w:cs="Arial"/>
                <w:szCs w:val="24"/>
              </w:rPr>
              <w:t>Lymph</w:t>
            </w:r>
            <w:r>
              <w:rPr>
                <w:rFonts w:cs="Arial"/>
                <w:szCs w:val="24"/>
              </w:rPr>
              <w:t>o</w:t>
            </w:r>
            <w:r w:rsidRPr="000B6A6D">
              <w:rPr>
                <w:rFonts w:cs="Arial"/>
                <w:szCs w:val="24"/>
              </w:rPr>
              <w:t>edema garments</w:t>
            </w:r>
          </w:p>
        </w:tc>
      </w:tr>
      <w:tr w:rsidR="002D4AE9" w:rsidTr="00E81051">
        <w:trPr>
          <w:trHeight w:val="2993"/>
        </w:trPr>
        <w:tc>
          <w:tcPr>
            <w:tcW w:w="4248" w:type="dxa"/>
          </w:tcPr>
          <w:p w:rsidR="002D4AE9" w:rsidRPr="004A0C77" w:rsidRDefault="002D4AE9" w:rsidP="00E81051">
            <w:pPr>
              <w:spacing w:before="60" w:after="60"/>
              <w:rPr>
                <w:rFonts w:cs="Arial"/>
              </w:rPr>
            </w:pPr>
            <w:r w:rsidRPr="004A0C77">
              <w:rPr>
                <w:rFonts w:cs="Arial"/>
              </w:rPr>
              <w:t>Respiratory Supports</w:t>
            </w:r>
          </w:p>
          <w:p w:rsidR="002D4AE9" w:rsidRPr="004A0C77" w:rsidRDefault="002D4AE9" w:rsidP="00E81051">
            <w:pPr>
              <w:rPr>
                <w:rFonts w:cs="Arial"/>
              </w:rPr>
            </w:pPr>
          </w:p>
        </w:tc>
        <w:tc>
          <w:tcPr>
            <w:tcW w:w="5217" w:type="dxa"/>
          </w:tcPr>
          <w:p w:rsidR="002D4AE9" w:rsidRPr="004A0C77" w:rsidRDefault="002D4AE9" w:rsidP="00E81051">
            <w:pPr>
              <w:pStyle w:val="ListParagraph"/>
              <w:numPr>
                <w:ilvl w:val="0"/>
                <w:numId w:val="1"/>
              </w:numPr>
              <w:spacing w:before="60" w:after="60"/>
              <w:rPr>
                <w:rFonts w:cs="Arial"/>
                <w:szCs w:val="24"/>
              </w:rPr>
            </w:pPr>
            <w:r w:rsidRPr="004A0C77">
              <w:rPr>
                <w:rFonts w:cs="Arial"/>
                <w:szCs w:val="24"/>
              </w:rPr>
              <w:t>Tracheostomy changes</w:t>
            </w:r>
          </w:p>
          <w:p w:rsidR="002D4AE9" w:rsidRPr="004A0C77" w:rsidRDefault="002D4AE9" w:rsidP="00E81051">
            <w:pPr>
              <w:pStyle w:val="ListParagraph"/>
              <w:numPr>
                <w:ilvl w:val="0"/>
                <w:numId w:val="1"/>
              </w:numPr>
              <w:spacing w:before="60" w:after="60"/>
              <w:rPr>
                <w:rFonts w:cs="Arial"/>
                <w:szCs w:val="24"/>
              </w:rPr>
            </w:pPr>
            <w:r w:rsidRPr="004A0C77">
              <w:rPr>
                <w:rFonts w:cs="Arial"/>
                <w:szCs w:val="24"/>
              </w:rPr>
              <w:t>Tracheostomy clinical management</w:t>
            </w:r>
          </w:p>
          <w:p w:rsidR="002D4AE9" w:rsidRPr="004A0C77" w:rsidRDefault="002D4AE9" w:rsidP="00E81051">
            <w:pPr>
              <w:pStyle w:val="ListParagraph"/>
              <w:numPr>
                <w:ilvl w:val="0"/>
                <w:numId w:val="1"/>
              </w:numPr>
              <w:spacing w:before="60" w:after="60"/>
              <w:rPr>
                <w:rFonts w:cs="Arial"/>
                <w:szCs w:val="24"/>
              </w:rPr>
            </w:pPr>
            <w:r w:rsidRPr="004A0C77">
              <w:rPr>
                <w:rFonts w:cs="Arial"/>
                <w:szCs w:val="24"/>
              </w:rPr>
              <w:t>Tracheostomy equipment and consumables</w:t>
            </w:r>
          </w:p>
          <w:p w:rsidR="002D4AE9" w:rsidRPr="004A0C77" w:rsidRDefault="002D4AE9" w:rsidP="00E81051">
            <w:pPr>
              <w:pStyle w:val="ListParagraph"/>
              <w:numPr>
                <w:ilvl w:val="0"/>
                <w:numId w:val="1"/>
              </w:numPr>
              <w:spacing w:before="60" w:after="60"/>
              <w:rPr>
                <w:rFonts w:cs="Arial"/>
                <w:szCs w:val="24"/>
              </w:rPr>
            </w:pPr>
            <w:r w:rsidRPr="004A0C77">
              <w:rPr>
                <w:rFonts w:cs="Arial"/>
                <w:szCs w:val="24"/>
              </w:rPr>
              <w:t>Constant Positive Airway Pressure (CPAP) machine and consumables</w:t>
            </w:r>
          </w:p>
          <w:p w:rsidR="002D4AE9" w:rsidRPr="004A0C77" w:rsidRDefault="002D4AE9" w:rsidP="00E81051">
            <w:pPr>
              <w:pStyle w:val="ListParagraph"/>
              <w:numPr>
                <w:ilvl w:val="0"/>
                <w:numId w:val="1"/>
              </w:numPr>
              <w:spacing w:before="60" w:after="60"/>
              <w:rPr>
                <w:rFonts w:cs="Arial"/>
                <w:szCs w:val="24"/>
              </w:rPr>
            </w:pPr>
            <w:r w:rsidRPr="004A0C77">
              <w:rPr>
                <w:rFonts w:cs="Arial"/>
                <w:szCs w:val="24"/>
              </w:rPr>
              <w:t>Bi-level Positive Airway Pressure (BiPAP) machine and consumables</w:t>
            </w:r>
          </w:p>
          <w:p w:rsidR="002D4AE9" w:rsidRPr="004A0C77" w:rsidRDefault="002D4AE9" w:rsidP="00E81051">
            <w:pPr>
              <w:pStyle w:val="ListParagraph"/>
              <w:numPr>
                <w:ilvl w:val="0"/>
                <w:numId w:val="1"/>
              </w:numPr>
              <w:spacing w:before="60" w:after="60"/>
              <w:rPr>
                <w:rFonts w:cs="Arial"/>
                <w:szCs w:val="24"/>
              </w:rPr>
            </w:pPr>
            <w:r w:rsidRPr="004A0C77">
              <w:rPr>
                <w:rFonts w:cs="Arial"/>
                <w:szCs w:val="24"/>
              </w:rPr>
              <w:t>Air humidifier</w:t>
            </w:r>
          </w:p>
          <w:p w:rsidR="002D4AE9" w:rsidRPr="004A0C77" w:rsidRDefault="002D4AE9" w:rsidP="00E81051">
            <w:pPr>
              <w:pStyle w:val="ListParagraph"/>
              <w:numPr>
                <w:ilvl w:val="0"/>
                <w:numId w:val="1"/>
              </w:numPr>
              <w:spacing w:before="60" w:after="60"/>
              <w:rPr>
                <w:rFonts w:cs="Arial"/>
                <w:szCs w:val="24"/>
              </w:rPr>
            </w:pPr>
            <w:r w:rsidRPr="004A0C77">
              <w:rPr>
                <w:rFonts w:cs="Arial"/>
                <w:szCs w:val="24"/>
              </w:rPr>
              <w:t>Portable suction machine</w:t>
            </w:r>
          </w:p>
          <w:p w:rsidR="002D4AE9" w:rsidRPr="004A0C77" w:rsidRDefault="002D4AE9" w:rsidP="00E81051">
            <w:pPr>
              <w:pStyle w:val="ListParagraph"/>
              <w:numPr>
                <w:ilvl w:val="0"/>
                <w:numId w:val="1"/>
              </w:numPr>
              <w:spacing w:before="60" w:after="60"/>
              <w:rPr>
                <w:rFonts w:cs="Arial"/>
                <w:szCs w:val="24"/>
              </w:rPr>
            </w:pPr>
            <w:r w:rsidRPr="004A0C77">
              <w:rPr>
                <w:rFonts w:cs="Arial"/>
                <w:szCs w:val="24"/>
              </w:rPr>
              <w:t>Cough assist machine</w:t>
            </w:r>
          </w:p>
          <w:p w:rsidR="002D4AE9" w:rsidRPr="004A0C77" w:rsidRDefault="002D4AE9" w:rsidP="00E81051">
            <w:pPr>
              <w:pStyle w:val="ListParagraph"/>
              <w:numPr>
                <w:ilvl w:val="0"/>
                <w:numId w:val="1"/>
              </w:numPr>
              <w:spacing w:before="60" w:after="60"/>
              <w:rPr>
                <w:rFonts w:cs="Arial"/>
              </w:rPr>
            </w:pPr>
            <w:r w:rsidRPr="004A0C77">
              <w:rPr>
                <w:rFonts w:cs="Arial"/>
                <w:szCs w:val="24"/>
              </w:rPr>
              <w:t>Ventilator</w:t>
            </w:r>
          </w:p>
        </w:tc>
      </w:tr>
      <w:tr w:rsidR="002D4AE9" w:rsidTr="00E81051">
        <w:trPr>
          <w:trHeight w:val="2228"/>
        </w:trPr>
        <w:tc>
          <w:tcPr>
            <w:tcW w:w="4248" w:type="dxa"/>
          </w:tcPr>
          <w:p w:rsidR="002D4AE9" w:rsidRPr="00404F0A" w:rsidRDefault="002D4AE9" w:rsidP="00E81051">
            <w:pPr>
              <w:spacing w:before="60" w:after="60"/>
              <w:rPr>
                <w:rFonts w:cs="Arial"/>
                <w:szCs w:val="24"/>
              </w:rPr>
            </w:pPr>
            <w:r>
              <w:rPr>
                <w:rFonts w:cs="Arial"/>
                <w:szCs w:val="24"/>
              </w:rPr>
              <w:lastRenderedPageBreak/>
              <w:t>Nutrition Supports</w:t>
            </w:r>
          </w:p>
          <w:p w:rsidR="002D4AE9" w:rsidRDefault="002D4AE9" w:rsidP="00E81051">
            <w:pPr>
              <w:rPr>
                <w:rFonts w:cs="Arial"/>
                <w:sz w:val="24"/>
                <w:szCs w:val="24"/>
              </w:rPr>
            </w:pPr>
          </w:p>
        </w:tc>
        <w:tc>
          <w:tcPr>
            <w:tcW w:w="5217" w:type="dxa"/>
          </w:tcPr>
          <w:p w:rsidR="002D4AE9" w:rsidRPr="000B6A6D" w:rsidRDefault="002D4AE9" w:rsidP="00E81051">
            <w:pPr>
              <w:pStyle w:val="ListParagraph"/>
              <w:numPr>
                <w:ilvl w:val="0"/>
                <w:numId w:val="1"/>
              </w:numPr>
              <w:spacing w:before="60" w:after="60"/>
              <w:rPr>
                <w:rFonts w:cs="Arial"/>
                <w:szCs w:val="24"/>
              </w:rPr>
            </w:pPr>
            <w:r w:rsidRPr="000B6A6D">
              <w:rPr>
                <w:rFonts w:cs="Arial"/>
                <w:szCs w:val="24"/>
              </w:rPr>
              <w:t>Percutaneous Endoscopic Gastrostomy (PEG) and HEN equipment (or similar) and consumables, excluding Food Formula</w:t>
            </w:r>
          </w:p>
          <w:p w:rsidR="002D4AE9" w:rsidRPr="000B6A6D" w:rsidRDefault="002D4AE9" w:rsidP="00E81051">
            <w:pPr>
              <w:pStyle w:val="ListParagraph"/>
              <w:numPr>
                <w:ilvl w:val="0"/>
                <w:numId w:val="1"/>
              </w:numPr>
              <w:spacing w:before="60" w:after="60"/>
              <w:rPr>
                <w:rFonts w:cs="Arial"/>
                <w:szCs w:val="24"/>
              </w:rPr>
            </w:pPr>
            <w:r w:rsidRPr="000B6A6D">
              <w:rPr>
                <w:rFonts w:cs="Arial"/>
                <w:szCs w:val="24"/>
              </w:rPr>
              <w:t>Thickeners and nutritional supplements</w:t>
            </w:r>
          </w:p>
          <w:p w:rsidR="002D4AE9" w:rsidRPr="000B6A6D" w:rsidRDefault="002D4AE9" w:rsidP="00E81051">
            <w:pPr>
              <w:pStyle w:val="ListParagraph"/>
              <w:numPr>
                <w:ilvl w:val="0"/>
                <w:numId w:val="1"/>
              </w:numPr>
              <w:spacing w:before="60" w:after="60"/>
              <w:rPr>
                <w:rFonts w:cs="Arial"/>
                <w:szCs w:val="24"/>
              </w:rPr>
            </w:pPr>
            <w:r w:rsidRPr="000B6A6D">
              <w:rPr>
                <w:rFonts w:cs="Arial"/>
                <w:szCs w:val="24"/>
              </w:rPr>
              <w:t>PEG stoma changes</w:t>
            </w:r>
          </w:p>
          <w:p w:rsidR="002D4AE9" w:rsidRPr="004A0C77" w:rsidRDefault="002D4AE9" w:rsidP="00E81051">
            <w:pPr>
              <w:pStyle w:val="ListParagraph"/>
              <w:numPr>
                <w:ilvl w:val="0"/>
                <w:numId w:val="1"/>
              </w:numPr>
              <w:spacing w:before="60" w:after="60"/>
              <w:rPr>
                <w:rFonts w:cs="Arial"/>
                <w:szCs w:val="24"/>
              </w:rPr>
            </w:pPr>
            <w:r w:rsidRPr="000B6A6D">
              <w:rPr>
                <w:rFonts w:cs="Arial"/>
                <w:szCs w:val="24"/>
              </w:rPr>
              <w:t xml:space="preserve">Dietetic consultations </w:t>
            </w:r>
            <w:r w:rsidRPr="004A0C77">
              <w:rPr>
                <w:rFonts w:cs="Arial"/>
                <w:szCs w:val="24"/>
              </w:rPr>
              <w:tab/>
            </w:r>
          </w:p>
          <w:p w:rsidR="002D4AE9" w:rsidRPr="000B6A6D" w:rsidRDefault="002D4AE9" w:rsidP="00E81051">
            <w:pPr>
              <w:pStyle w:val="ListParagraph"/>
              <w:numPr>
                <w:ilvl w:val="0"/>
                <w:numId w:val="1"/>
              </w:numPr>
              <w:spacing w:before="60" w:after="60"/>
              <w:rPr>
                <w:rFonts w:cs="Arial"/>
                <w:szCs w:val="24"/>
              </w:rPr>
            </w:pPr>
            <w:r w:rsidRPr="000B6A6D">
              <w:rPr>
                <w:rFonts w:cs="Arial"/>
                <w:szCs w:val="24"/>
              </w:rPr>
              <w:t>Development of nutritional meal plans</w:t>
            </w:r>
          </w:p>
          <w:p w:rsidR="002D4AE9" w:rsidRPr="00404F0A" w:rsidRDefault="002D4AE9" w:rsidP="00E81051">
            <w:pPr>
              <w:pStyle w:val="ListParagraph"/>
              <w:numPr>
                <w:ilvl w:val="0"/>
                <w:numId w:val="1"/>
              </w:numPr>
              <w:spacing w:before="60" w:after="60"/>
              <w:rPr>
                <w:szCs w:val="24"/>
              </w:rPr>
            </w:pPr>
            <w:r w:rsidRPr="000B6A6D">
              <w:rPr>
                <w:rFonts w:cs="Arial"/>
                <w:szCs w:val="24"/>
              </w:rPr>
              <w:t>Development of meal time management plans</w:t>
            </w:r>
          </w:p>
        </w:tc>
      </w:tr>
      <w:tr w:rsidR="002D4AE9" w:rsidTr="00E81051">
        <w:trPr>
          <w:trHeight w:val="627"/>
        </w:trPr>
        <w:tc>
          <w:tcPr>
            <w:tcW w:w="4248" w:type="dxa"/>
          </w:tcPr>
          <w:p w:rsidR="002D4AE9" w:rsidRPr="004A0C77" w:rsidRDefault="002D4AE9" w:rsidP="00E81051">
            <w:pPr>
              <w:spacing w:before="60" w:after="60"/>
              <w:rPr>
                <w:rFonts w:cs="Arial"/>
                <w:szCs w:val="24"/>
              </w:rPr>
            </w:pPr>
            <w:r>
              <w:rPr>
                <w:rFonts w:cs="Arial"/>
                <w:szCs w:val="24"/>
              </w:rPr>
              <w:t>Podiatry and Foot Care Supports</w:t>
            </w:r>
          </w:p>
        </w:tc>
        <w:tc>
          <w:tcPr>
            <w:tcW w:w="5217" w:type="dxa"/>
          </w:tcPr>
          <w:p w:rsidR="002D4AE9" w:rsidRPr="004A0C77" w:rsidRDefault="002D4AE9" w:rsidP="00E81051">
            <w:pPr>
              <w:pStyle w:val="ListParagraph"/>
              <w:numPr>
                <w:ilvl w:val="0"/>
                <w:numId w:val="1"/>
              </w:numPr>
              <w:spacing w:before="60" w:after="60"/>
              <w:rPr>
                <w:rFonts w:cs="Arial"/>
                <w:szCs w:val="24"/>
                <w:u w:val="single"/>
              </w:rPr>
            </w:pPr>
            <w:r w:rsidRPr="000B6A6D">
              <w:rPr>
                <w:rFonts w:cs="Arial"/>
                <w:szCs w:val="24"/>
              </w:rPr>
              <w:t>Podiatry diagnosis and assessment and development of podiatry care plan</w:t>
            </w:r>
            <w:r w:rsidRPr="000B6A6D">
              <w:rPr>
                <w:rFonts w:cs="Arial"/>
                <w:szCs w:val="24"/>
                <w:u w:val="single"/>
              </w:rPr>
              <w:t xml:space="preserve"> </w:t>
            </w:r>
          </w:p>
        </w:tc>
      </w:tr>
      <w:tr w:rsidR="002D4AE9" w:rsidTr="00E81051">
        <w:trPr>
          <w:trHeight w:val="834"/>
        </w:trPr>
        <w:tc>
          <w:tcPr>
            <w:tcW w:w="4248" w:type="dxa"/>
          </w:tcPr>
          <w:p w:rsidR="002D4AE9" w:rsidRPr="004A0C77" w:rsidRDefault="002D4AE9" w:rsidP="00E81051">
            <w:pPr>
              <w:spacing w:before="60" w:after="60"/>
              <w:rPr>
                <w:rFonts w:cs="Arial"/>
                <w:szCs w:val="24"/>
              </w:rPr>
            </w:pPr>
            <w:r>
              <w:rPr>
                <w:rFonts w:cs="Arial"/>
                <w:szCs w:val="24"/>
              </w:rPr>
              <w:t>Epilepsy Supports</w:t>
            </w:r>
          </w:p>
          <w:p w:rsidR="002D4AE9" w:rsidRDefault="002D4AE9" w:rsidP="00E81051">
            <w:pPr>
              <w:spacing w:before="60" w:after="60"/>
              <w:rPr>
                <w:rFonts w:cs="Arial"/>
                <w:szCs w:val="24"/>
              </w:rPr>
            </w:pPr>
          </w:p>
        </w:tc>
        <w:tc>
          <w:tcPr>
            <w:tcW w:w="5217" w:type="dxa"/>
          </w:tcPr>
          <w:p w:rsidR="002D4AE9" w:rsidRPr="00CA4768" w:rsidRDefault="002D4AE9" w:rsidP="00E81051">
            <w:pPr>
              <w:pStyle w:val="ListParagraph"/>
              <w:numPr>
                <w:ilvl w:val="0"/>
                <w:numId w:val="1"/>
              </w:numPr>
              <w:spacing w:before="60" w:after="60"/>
              <w:rPr>
                <w:rFonts w:cs="Arial"/>
                <w:szCs w:val="24"/>
              </w:rPr>
            </w:pPr>
            <w:r w:rsidRPr="00CA4768">
              <w:rPr>
                <w:rFonts w:cs="Arial"/>
                <w:szCs w:val="24"/>
              </w:rPr>
              <w:t>Epilepsy seizure monitoring</w:t>
            </w:r>
          </w:p>
          <w:p w:rsidR="002D4AE9" w:rsidRPr="000B6A6D" w:rsidRDefault="002D4AE9" w:rsidP="00E81051">
            <w:pPr>
              <w:pStyle w:val="ListParagraph"/>
              <w:numPr>
                <w:ilvl w:val="0"/>
                <w:numId w:val="1"/>
              </w:numPr>
              <w:spacing w:before="60" w:after="60"/>
              <w:rPr>
                <w:rFonts w:cs="Arial"/>
                <w:szCs w:val="24"/>
              </w:rPr>
            </w:pPr>
            <w:r w:rsidRPr="00CA4768">
              <w:rPr>
                <w:rFonts w:cs="Arial"/>
                <w:szCs w:val="24"/>
              </w:rPr>
              <w:t>Epilepsy monitoring through assistive technology</w:t>
            </w:r>
          </w:p>
        </w:tc>
      </w:tr>
    </w:tbl>
    <w:p w:rsidR="002D4AE9" w:rsidRDefault="002D4AE9" w:rsidP="000243C1">
      <w:pPr>
        <w:keepNext/>
        <w:keepLines/>
        <w:rPr>
          <w:rFonts w:cs="Arial"/>
          <w:sz w:val="24"/>
          <w:szCs w:val="24"/>
        </w:rPr>
      </w:pPr>
    </w:p>
    <w:p w:rsidR="000243C1" w:rsidRDefault="000243C1" w:rsidP="000243C1">
      <w:pPr>
        <w:keepNext/>
        <w:keepLines/>
        <w:rPr>
          <w:rFonts w:cs="Arial"/>
          <w:sz w:val="24"/>
          <w:szCs w:val="24"/>
        </w:rPr>
      </w:pPr>
      <w:r>
        <w:rPr>
          <w:rFonts w:cs="Arial"/>
          <w:sz w:val="24"/>
          <w:szCs w:val="24"/>
        </w:rPr>
        <w:t>In determining whether disability-related health supports will be included in a participant’s plan, a practical approach to each participant’s individual circumstances will be taken. This will include consideration of, for example, where there are thin markets (i.e in remote, rural and regional locations).</w:t>
      </w:r>
    </w:p>
    <w:p w:rsidR="000243C1" w:rsidRPr="0081239F" w:rsidRDefault="000243C1" w:rsidP="00B13879">
      <w:pPr>
        <w:pStyle w:val="Heading3"/>
        <w:spacing w:before="0" w:after="200"/>
        <w:rPr>
          <w:rFonts w:cs="Arial"/>
          <w:b w:val="0"/>
          <w:sz w:val="24"/>
          <w:szCs w:val="24"/>
        </w:rPr>
      </w:pPr>
      <w:r w:rsidRPr="00B13879">
        <w:rPr>
          <w:sz w:val="24"/>
          <w:szCs w:val="24"/>
        </w:rPr>
        <w:t>Health supports that will NOT be provided by the NDIS</w:t>
      </w:r>
    </w:p>
    <w:p w:rsidR="000243C1" w:rsidRPr="005D0D19" w:rsidRDefault="000243C1" w:rsidP="000243C1">
      <w:pPr>
        <w:keepNext/>
        <w:keepLines/>
        <w:rPr>
          <w:rFonts w:cs="Arial"/>
          <w:sz w:val="24"/>
          <w:szCs w:val="24"/>
        </w:rPr>
      </w:pPr>
      <w:r w:rsidRPr="005D0D19">
        <w:rPr>
          <w:rFonts w:cs="Arial"/>
          <w:sz w:val="24"/>
          <w:szCs w:val="24"/>
        </w:rPr>
        <w:t xml:space="preserve">Health-related services and supports that </w:t>
      </w:r>
      <w:r w:rsidRPr="005D0D19">
        <w:rPr>
          <w:rFonts w:cs="Arial"/>
          <w:b/>
          <w:sz w:val="24"/>
          <w:szCs w:val="24"/>
        </w:rPr>
        <w:t>will not</w:t>
      </w:r>
      <w:r w:rsidRPr="005D0D19">
        <w:rPr>
          <w:rFonts w:cs="Arial"/>
          <w:sz w:val="24"/>
          <w:szCs w:val="24"/>
        </w:rPr>
        <w:t xml:space="preserve"> be provided or funded through the NDIS include:</w:t>
      </w:r>
    </w:p>
    <w:p w:rsidR="000243C1" w:rsidRDefault="000243C1" w:rsidP="000243C1">
      <w:pPr>
        <w:pStyle w:val="ListParagraph"/>
        <w:numPr>
          <w:ilvl w:val="0"/>
          <w:numId w:val="5"/>
        </w:numPr>
        <w:ind w:left="357" w:hanging="357"/>
        <w:contextualSpacing w:val="0"/>
        <w:rPr>
          <w:rFonts w:cs="Arial"/>
          <w:sz w:val="24"/>
          <w:szCs w:val="24"/>
        </w:rPr>
      </w:pPr>
      <w:r>
        <w:rPr>
          <w:rFonts w:cs="Arial"/>
          <w:sz w:val="24"/>
          <w:szCs w:val="24"/>
        </w:rPr>
        <w:t>Items and services provided as part of diagnosis, early intervention and treatment of health conditions, including ongoing or chronic health conditions, and which are not part of the everyday life of the NDIS participant</w:t>
      </w:r>
    </w:p>
    <w:p w:rsidR="000243C1" w:rsidRPr="0081239F" w:rsidRDefault="000243C1" w:rsidP="000243C1">
      <w:pPr>
        <w:pStyle w:val="ListParagraph"/>
        <w:numPr>
          <w:ilvl w:val="0"/>
          <w:numId w:val="5"/>
        </w:numPr>
        <w:ind w:left="357" w:hanging="357"/>
        <w:contextualSpacing w:val="0"/>
        <w:rPr>
          <w:rFonts w:cs="Arial"/>
          <w:sz w:val="24"/>
          <w:szCs w:val="24"/>
        </w:rPr>
      </w:pPr>
      <w:r w:rsidRPr="0081239F">
        <w:rPr>
          <w:rFonts w:cs="Arial"/>
          <w:sz w:val="24"/>
          <w:szCs w:val="24"/>
        </w:rPr>
        <w:t>Medically prescribed care, treatment or surgery for an acute illness or injury including post-acute care, convalescent care and rehabilitation</w:t>
      </w:r>
    </w:p>
    <w:p w:rsidR="000243C1" w:rsidRPr="0081239F" w:rsidRDefault="000243C1" w:rsidP="000243C1">
      <w:pPr>
        <w:pStyle w:val="ListParagraph"/>
        <w:numPr>
          <w:ilvl w:val="0"/>
          <w:numId w:val="5"/>
        </w:numPr>
        <w:ind w:left="357" w:hanging="357"/>
        <w:contextualSpacing w:val="0"/>
        <w:rPr>
          <w:rFonts w:cs="Arial"/>
          <w:sz w:val="24"/>
          <w:szCs w:val="24"/>
        </w:rPr>
      </w:pPr>
      <w:r w:rsidRPr="0081239F">
        <w:rPr>
          <w:rFonts w:cs="Arial"/>
          <w:sz w:val="24"/>
          <w:szCs w:val="24"/>
        </w:rPr>
        <w:t>Sub-acute care including palliative care, end of life care and geriatric care</w:t>
      </w:r>
      <w:r w:rsidRPr="00360721">
        <w:rPr>
          <w:rFonts w:cs="Arial"/>
          <w:sz w:val="24"/>
          <w:szCs w:val="24"/>
        </w:rPr>
        <w:t xml:space="preserve"> (with the exception of supports that are already provided for in a participant’s plan – refer </w:t>
      </w:r>
      <w:r w:rsidRPr="00360721">
        <w:rPr>
          <w:rFonts w:cs="Arial"/>
          <w:b/>
          <w:sz w:val="24"/>
          <w:szCs w:val="24"/>
        </w:rPr>
        <w:t>Palliative Care</w:t>
      </w:r>
      <w:r w:rsidRPr="00360721">
        <w:rPr>
          <w:rFonts w:cs="Arial"/>
          <w:sz w:val="24"/>
          <w:szCs w:val="24"/>
        </w:rPr>
        <w:t>)</w:t>
      </w:r>
    </w:p>
    <w:p w:rsidR="000243C1" w:rsidRPr="0081239F" w:rsidRDefault="000243C1" w:rsidP="000243C1">
      <w:pPr>
        <w:pStyle w:val="ListParagraph"/>
        <w:numPr>
          <w:ilvl w:val="0"/>
          <w:numId w:val="5"/>
        </w:numPr>
        <w:ind w:left="357" w:hanging="357"/>
        <w:contextualSpacing w:val="0"/>
        <w:rPr>
          <w:rFonts w:cs="Arial"/>
          <w:sz w:val="24"/>
          <w:szCs w:val="24"/>
        </w:rPr>
      </w:pPr>
      <w:r w:rsidRPr="0081239F">
        <w:rPr>
          <w:rFonts w:cs="Arial"/>
          <w:sz w:val="24"/>
          <w:szCs w:val="24"/>
        </w:rPr>
        <w:t>Items</w:t>
      </w:r>
      <w:r>
        <w:rPr>
          <w:rFonts w:cs="Arial"/>
          <w:sz w:val="24"/>
          <w:szCs w:val="24"/>
        </w:rPr>
        <w:t xml:space="preserve"> and services </w:t>
      </w:r>
      <w:r w:rsidRPr="0081239F">
        <w:rPr>
          <w:rFonts w:cs="Arial"/>
          <w:sz w:val="24"/>
          <w:szCs w:val="24"/>
        </w:rPr>
        <w:t>covered by the Medicare Benefits Schedule (MBS) and Pharmaceutical Benefits Scheme (PBS)</w:t>
      </w:r>
    </w:p>
    <w:p w:rsidR="002D4AE9" w:rsidRDefault="000243C1" w:rsidP="000243C1">
      <w:pPr>
        <w:pStyle w:val="ListParagraph"/>
        <w:numPr>
          <w:ilvl w:val="0"/>
          <w:numId w:val="5"/>
        </w:numPr>
        <w:ind w:left="357" w:hanging="357"/>
        <w:contextualSpacing w:val="0"/>
        <w:rPr>
          <w:rFonts w:cs="Arial"/>
          <w:sz w:val="24"/>
          <w:szCs w:val="24"/>
        </w:rPr>
      </w:pPr>
      <w:r w:rsidRPr="0081239F">
        <w:rPr>
          <w:rFonts w:cs="Arial"/>
          <w:sz w:val="24"/>
          <w:szCs w:val="24"/>
        </w:rPr>
        <w:t>Treatment, services or supports delivered by a doctor or medical specialist, including diagnosis and assessment of a health condition.</w:t>
      </w:r>
    </w:p>
    <w:p w:rsidR="002D4AE9" w:rsidRDefault="002D4AE9" w:rsidP="002D4AE9">
      <w:r>
        <w:br w:type="page"/>
      </w:r>
    </w:p>
    <w:p w:rsidR="000243C1" w:rsidRPr="0091306A" w:rsidRDefault="000243C1" w:rsidP="0091306A">
      <w:pPr>
        <w:pStyle w:val="Heading3"/>
        <w:spacing w:before="0" w:after="200"/>
        <w:rPr>
          <w:sz w:val="24"/>
          <w:szCs w:val="24"/>
        </w:rPr>
      </w:pPr>
      <w:r w:rsidRPr="0091306A">
        <w:rPr>
          <w:sz w:val="24"/>
          <w:szCs w:val="24"/>
        </w:rPr>
        <w:lastRenderedPageBreak/>
        <w:t>When will an NDIS participant be able to include disability-related health supports in plans?</w:t>
      </w:r>
    </w:p>
    <w:p w:rsidR="000243C1" w:rsidRPr="00CA4768" w:rsidRDefault="000243C1" w:rsidP="000243C1">
      <w:pPr>
        <w:keepNext/>
        <w:keepLines/>
        <w:rPr>
          <w:rFonts w:cs="Arial"/>
          <w:sz w:val="24"/>
          <w:szCs w:val="24"/>
        </w:rPr>
      </w:pPr>
      <w:r w:rsidRPr="00CA4768">
        <w:rPr>
          <w:rFonts w:cs="Arial"/>
          <w:sz w:val="24"/>
          <w:szCs w:val="24"/>
        </w:rPr>
        <w:t xml:space="preserve">From </w:t>
      </w:r>
      <w:r w:rsidRPr="00CA4768">
        <w:rPr>
          <w:rFonts w:cs="Arial"/>
          <w:b/>
          <w:sz w:val="24"/>
          <w:szCs w:val="24"/>
        </w:rPr>
        <w:t>1 October 2019</w:t>
      </w:r>
      <w:r w:rsidRPr="00CA4768">
        <w:rPr>
          <w:rFonts w:cs="Arial"/>
          <w:sz w:val="24"/>
          <w:szCs w:val="24"/>
        </w:rPr>
        <w:t xml:space="preserve">, NDIS participants who need disability-related health supports as a direct result of their disability, and as part of their daily life, can access these supports through their NDIS plan. </w:t>
      </w:r>
    </w:p>
    <w:p w:rsidR="000243C1" w:rsidRPr="00CA4768" w:rsidRDefault="000243C1" w:rsidP="000243C1">
      <w:pPr>
        <w:rPr>
          <w:rFonts w:cs="Arial"/>
          <w:sz w:val="24"/>
          <w:szCs w:val="24"/>
        </w:rPr>
      </w:pPr>
      <w:r w:rsidRPr="00CA4768">
        <w:rPr>
          <w:rFonts w:cs="Arial"/>
          <w:sz w:val="24"/>
          <w:szCs w:val="24"/>
        </w:rPr>
        <w:t>The NDIA and state and territory health departments will work together to develop aligned communications and guidance to support consistent implementation by both the NDIS and health systems.</w:t>
      </w:r>
    </w:p>
    <w:p w:rsidR="000243C1" w:rsidRPr="0081239F" w:rsidRDefault="000243C1" w:rsidP="000243C1">
      <w:pPr>
        <w:keepNext/>
        <w:keepLines/>
        <w:rPr>
          <w:rFonts w:cs="Arial"/>
          <w:sz w:val="24"/>
          <w:szCs w:val="24"/>
        </w:rPr>
      </w:pPr>
      <w:r w:rsidRPr="00CA4768">
        <w:rPr>
          <w:rFonts w:cs="Arial"/>
          <w:sz w:val="24"/>
          <w:szCs w:val="24"/>
        </w:rPr>
        <w:t>In the meantime and to ensure NDIS participants are able to access the disability-related health supports that they need, state and territory health  services will continue to provide disability</w:t>
      </w:r>
      <w:r>
        <w:rPr>
          <w:rFonts w:cs="Arial"/>
          <w:sz w:val="24"/>
          <w:szCs w:val="24"/>
        </w:rPr>
        <w:t>-</w:t>
      </w:r>
      <w:r w:rsidRPr="00CA4768">
        <w:rPr>
          <w:rFonts w:cs="Arial"/>
          <w:sz w:val="24"/>
          <w:szCs w:val="24"/>
        </w:rPr>
        <w:t xml:space="preserve">related health supports they are currently providing to NDIS participants where such supports are </w:t>
      </w:r>
      <w:r w:rsidRPr="00CA4768">
        <w:rPr>
          <w:rFonts w:cs="Arial"/>
          <w:b/>
          <w:sz w:val="24"/>
          <w:szCs w:val="24"/>
        </w:rPr>
        <w:t>not already</w:t>
      </w:r>
      <w:r w:rsidRPr="00CA4768">
        <w:rPr>
          <w:rFonts w:cs="Arial"/>
          <w:sz w:val="24"/>
          <w:szCs w:val="24"/>
        </w:rPr>
        <w:t xml:space="preserve"> included in a participant’s NDIS plan. The NDIS will continue to fund these supports where they are </w:t>
      </w:r>
      <w:r w:rsidRPr="00CA4768">
        <w:rPr>
          <w:rFonts w:cs="Arial"/>
          <w:b/>
          <w:sz w:val="24"/>
          <w:szCs w:val="24"/>
        </w:rPr>
        <w:t>already</w:t>
      </w:r>
      <w:r w:rsidRPr="00CA4768">
        <w:rPr>
          <w:rFonts w:cs="Arial"/>
          <w:sz w:val="24"/>
          <w:szCs w:val="24"/>
        </w:rPr>
        <w:t xml:space="preserve"> included in a participant’s NDIS plan.</w:t>
      </w:r>
      <w:r w:rsidRPr="0081239F">
        <w:rPr>
          <w:rFonts w:cs="Arial"/>
          <w:sz w:val="24"/>
          <w:szCs w:val="24"/>
        </w:rPr>
        <w:t xml:space="preserve"> </w:t>
      </w:r>
    </w:p>
    <w:p w:rsidR="000243C1" w:rsidRPr="00B13879" w:rsidRDefault="000243C1" w:rsidP="00B13879">
      <w:pPr>
        <w:pStyle w:val="Heading3"/>
        <w:spacing w:before="0" w:after="200"/>
        <w:rPr>
          <w:sz w:val="24"/>
          <w:szCs w:val="24"/>
        </w:rPr>
      </w:pPr>
      <w:r w:rsidRPr="00B13879">
        <w:rPr>
          <w:sz w:val="24"/>
          <w:szCs w:val="24"/>
        </w:rPr>
        <w:t>What are concurrent supports?</w:t>
      </w:r>
    </w:p>
    <w:p w:rsidR="000243C1" w:rsidRPr="005D0D19" w:rsidRDefault="000243C1" w:rsidP="000243C1">
      <w:pPr>
        <w:rPr>
          <w:rFonts w:cs="Arial"/>
          <w:sz w:val="24"/>
          <w:szCs w:val="24"/>
        </w:rPr>
      </w:pPr>
      <w:r w:rsidRPr="005D0D19">
        <w:rPr>
          <w:rFonts w:cs="Arial"/>
          <w:sz w:val="24"/>
          <w:szCs w:val="24"/>
        </w:rPr>
        <w:t>Concurrent supports are supports that continue to be provided to a NDIS participant through the NDIS at the same time as they are accessing health</w:t>
      </w:r>
      <w:r>
        <w:rPr>
          <w:rFonts w:cs="Arial"/>
          <w:sz w:val="24"/>
          <w:szCs w:val="24"/>
        </w:rPr>
        <w:t xml:space="preserve"> services.</w:t>
      </w:r>
      <w:r w:rsidRPr="005D0D19">
        <w:rPr>
          <w:rFonts w:cs="Arial"/>
          <w:sz w:val="24"/>
          <w:szCs w:val="24"/>
        </w:rPr>
        <w:t xml:space="preserve"> </w:t>
      </w:r>
      <w:r>
        <w:rPr>
          <w:rFonts w:cs="Arial"/>
          <w:sz w:val="24"/>
          <w:szCs w:val="24"/>
        </w:rPr>
        <w:br/>
      </w:r>
      <w:r w:rsidRPr="005D0D19">
        <w:rPr>
          <w:rFonts w:cs="Arial"/>
          <w:sz w:val="24"/>
          <w:szCs w:val="24"/>
        </w:rPr>
        <w:t xml:space="preserve">For example, during a NDIS participant’s admission to hospital, there are </w:t>
      </w:r>
      <w:r>
        <w:rPr>
          <w:rFonts w:cs="Arial"/>
          <w:sz w:val="24"/>
          <w:szCs w:val="24"/>
        </w:rPr>
        <w:t>some</w:t>
      </w:r>
      <w:r w:rsidRPr="005D0D19">
        <w:rPr>
          <w:rFonts w:cs="Arial"/>
          <w:sz w:val="24"/>
          <w:szCs w:val="24"/>
        </w:rPr>
        <w:t xml:space="preserve"> NDIS funded supports that the participant may continue to receive</w:t>
      </w:r>
      <w:r>
        <w:rPr>
          <w:rFonts w:cs="Arial"/>
          <w:sz w:val="24"/>
          <w:szCs w:val="24"/>
        </w:rPr>
        <w:t>,</w:t>
      </w:r>
      <w:r w:rsidRPr="005D0D19">
        <w:rPr>
          <w:rFonts w:cs="Arial"/>
          <w:sz w:val="24"/>
          <w:szCs w:val="24"/>
        </w:rPr>
        <w:t xml:space="preserve"> including assistive technology, support coordination and specific communication supports where these are provided for in the participant’s NDIS plan. </w:t>
      </w:r>
    </w:p>
    <w:p w:rsidR="000243C1" w:rsidRPr="00B13879" w:rsidRDefault="000243C1" w:rsidP="00B13879">
      <w:pPr>
        <w:pStyle w:val="Heading3"/>
        <w:spacing w:before="0" w:after="200"/>
        <w:rPr>
          <w:sz w:val="24"/>
          <w:szCs w:val="24"/>
        </w:rPr>
      </w:pPr>
      <w:r w:rsidRPr="00B13879">
        <w:rPr>
          <w:sz w:val="24"/>
          <w:szCs w:val="24"/>
        </w:rPr>
        <w:t>Are people with health conditions that cause impairment able to access the NDIS?</w:t>
      </w:r>
    </w:p>
    <w:p w:rsidR="000243C1" w:rsidRPr="0081239F" w:rsidRDefault="000243C1" w:rsidP="000243C1">
      <w:pPr>
        <w:rPr>
          <w:rFonts w:cs="Arial"/>
          <w:sz w:val="24"/>
          <w:szCs w:val="24"/>
        </w:rPr>
      </w:pPr>
      <w:r w:rsidRPr="0081239F">
        <w:rPr>
          <w:rFonts w:cs="Arial"/>
          <w:sz w:val="24"/>
          <w:szCs w:val="24"/>
        </w:rPr>
        <w:t xml:space="preserve">The cause of a disability does not determine whether a person can access the NDIS. Access is determined by meeting the access criteria in section 21 of the </w:t>
      </w:r>
      <w:r w:rsidRPr="0081239F">
        <w:rPr>
          <w:rFonts w:cs="Arial"/>
          <w:i/>
          <w:sz w:val="24"/>
          <w:szCs w:val="24"/>
        </w:rPr>
        <w:t>National Disability Insurance Scheme Act 2013</w:t>
      </w:r>
      <w:r w:rsidRPr="0081239F">
        <w:rPr>
          <w:rFonts w:cs="Arial"/>
          <w:sz w:val="24"/>
          <w:szCs w:val="24"/>
        </w:rPr>
        <w:t xml:space="preserve"> (NDIS Act). These requirements includ</w:t>
      </w:r>
      <w:r>
        <w:rPr>
          <w:rFonts w:cs="Arial"/>
          <w:sz w:val="24"/>
          <w:szCs w:val="24"/>
        </w:rPr>
        <w:t>e</w:t>
      </w:r>
      <w:r w:rsidRPr="0081239F">
        <w:rPr>
          <w:rFonts w:cs="Arial"/>
          <w:sz w:val="24"/>
          <w:szCs w:val="24"/>
        </w:rPr>
        <w:t xml:space="preserve"> age, residenc</w:t>
      </w:r>
      <w:r>
        <w:rPr>
          <w:rFonts w:cs="Arial"/>
          <w:sz w:val="24"/>
          <w:szCs w:val="24"/>
        </w:rPr>
        <w:t>y status</w:t>
      </w:r>
      <w:r w:rsidRPr="0081239F">
        <w:rPr>
          <w:rFonts w:cs="Arial"/>
          <w:sz w:val="24"/>
          <w:szCs w:val="24"/>
        </w:rPr>
        <w:t xml:space="preserve">, </w:t>
      </w:r>
      <w:r>
        <w:rPr>
          <w:rFonts w:cs="Arial"/>
          <w:sz w:val="24"/>
          <w:szCs w:val="24"/>
        </w:rPr>
        <w:t xml:space="preserve">the nature of the </w:t>
      </w:r>
      <w:r w:rsidRPr="0081239F">
        <w:rPr>
          <w:rFonts w:cs="Arial"/>
          <w:sz w:val="24"/>
          <w:szCs w:val="24"/>
        </w:rPr>
        <w:t>disability and early intervention criteria</w:t>
      </w:r>
      <w:r>
        <w:rPr>
          <w:rFonts w:cs="Arial"/>
          <w:sz w:val="24"/>
          <w:szCs w:val="24"/>
        </w:rPr>
        <w:t xml:space="preserve">. </w:t>
      </w:r>
      <w:r>
        <w:rPr>
          <w:rFonts w:cs="Arial"/>
          <w:sz w:val="24"/>
          <w:szCs w:val="24"/>
        </w:rPr>
        <w:br/>
        <w:t>Access</w:t>
      </w:r>
      <w:r w:rsidRPr="0081239F">
        <w:rPr>
          <w:rFonts w:cs="Arial"/>
          <w:sz w:val="24"/>
          <w:szCs w:val="24"/>
        </w:rPr>
        <w:t xml:space="preserve"> request</w:t>
      </w:r>
      <w:r>
        <w:rPr>
          <w:rFonts w:cs="Arial"/>
          <w:sz w:val="24"/>
          <w:szCs w:val="24"/>
        </w:rPr>
        <w:t>s are</w:t>
      </w:r>
      <w:r w:rsidRPr="0081239F">
        <w:rPr>
          <w:rFonts w:cs="Arial"/>
          <w:sz w:val="24"/>
          <w:szCs w:val="24"/>
        </w:rPr>
        <w:t xml:space="preserve"> assessed on a</w:t>
      </w:r>
      <w:r>
        <w:rPr>
          <w:rFonts w:cs="Arial"/>
          <w:sz w:val="24"/>
          <w:szCs w:val="24"/>
        </w:rPr>
        <w:t>n individual</w:t>
      </w:r>
      <w:r w:rsidRPr="0081239F">
        <w:rPr>
          <w:rFonts w:cs="Arial"/>
          <w:sz w:val="24"/>
          <w:szCs w:val="24"/>
        </w:rPr>
        <w:t xml:space="preserve"> case-by-case basis.</w:t>
      </w:r>
    </w:p>
    <w:p w:rsidR="000243C1" w:rsidRDefault="000243C1" w:rsidP="000243C1">
      <w:pPr>
        <w:rPr>
          <w:rFonts w:cs="Arial"/>
          <w:b/>
          <w:sz w:val="24"/>
          <w:szCs w:val="24"/>
        </w:rPr>
      </w:pPr>
      <w:r>
        <w:rPr>
          <w:rFonts w:cs="Arial"/>
          <w:sz w:val="24"/>
          <w:szCs w:val="24"/>
        </w:rPr>
        <w:t>More</w:t>
      </w:r>
      <w:r w:rsidRPr="0081239F">
        <w:rPr>
          <w:rFonts w:cs="Arial"/>
          <w:sz w:val="24"/>
          <w:szCs w:val="24"/>
        </w:rPr>
        <w:t xml:space="preserve"> information on accessing the NDIS is available on the NDIA’s website</w:t>
      </w:r>
      <w:r>
        <w:rPr>
          <w:rFonts w:cs="Arial"/>
          <w:sz w:val="24"/>
          <w:szCs w:val="24"/>
        </w:rPr>
        <w:t xml:space="preserve"> </w:t>
      </w:r>
      <w:hyperlink r:id="rId8" w:history="1">
        <w:r>
          <w:rPr>
            <w:rStyle w:val="Hyperlink"/>
            <w:rFonts w:cs="Arial"/>
            <w:sz w:val="24"/>
            <w:szCs w:val="24"/>
          </w:rPr>
          <w:t>Applying to access the NDIS</w:t>
        </w:r>
      </w:hyperlink>
    </w:p>
    <w:p w:rsidR="000243C1" w:rsidRPr="00B13879" w:rsidRDefault="000243C1" w:rsidP="00B13879">
      <w:pPr>
        <w:pStyle w:val="Heading3"/>
        <w:spacing w:before="0" w:after="200"/>
        <w:rPr>
          <w:sz w:val="24"/>
          <w:szCs w:val="24"/>
        </w:rPr>
      </w:pPr>
      <w:r w:rsidRPr="00B13879">
        <w:rPr>
          <w:sz w:val="24"/>
          <w:szCs w:val="24"/>
        </w:rPr>
        <w:t>Does the NDIS fund supports where an NDIS participant’s disability reduces their ability to self-manage health conditions?</w:t>
      </w:r>
    </w:p>
    <w:p w:rsidR="000243C1" w:rsidRDefault="000243C1" w:rsidP="000243C1">
      <w:pPr>
        <w:rPr>
          <w:rFonts w:cs="Arial"/>
          <w:sz w:val="24"/>
          <w:szCs w:val="24"/>
        </w:rPr>
      </w:pPr>
      <w:r w:rsidRPr="0081239F">
        <w:rPr>
          <w:rFonts w:cs="Arial"/>
          <w:sz w:val="24"/>
          <w:szCs w:val="24"/>
        </w:rPr>
        <w:t xml:space="preserve">A NDIS participant’s disability may prevent them from being able to self-manage certain health conditions that a person without disability would be expected to do themselves. </w:t>
      </w:r>
      <w:r>
        <w:rPr>
          <w:rFonts w:cs="Arial"/>
          <w:sz w:val="24"/>
          <w:szCs w:val="24"/>
        </w:rPr>
        <w:br/>
      </w:r>
      <w:r w:rsidRPr="0081239F">
        <w:rPr>
          <w:rFonts w:cs="Arial"/>
          <w:sz w:val="24"/>
          <w:szCs w:val="24"/>
        </w:rPr>
        <w:t>In these circumstances, the NDIS will fund self-care supports. The NDIS will also fund self-care supports where it is necessary for the support to be delivered by a clinician.</w:t>
      </w:r>
    </w:p>
    <w:p w:rsidR="000243C1" w:rsidRDefault="000243C1">
      <w:pPr>
        <w:rPr>
          <w:rFonts w:cs="Arial"/>
          <w:sz w:val="24"/>
          <w:szCs w:val="24"/>
        </w:rPr>
      </w:pPr>
      <w:r>
        <w:rPr>
          <w:rFonts w:cs="Arial"/>
          <w:sz w:val="24"/>
          <w:szCs w:val="24"/>
        </w:rPr>
        <w:br w:type="page"/>
      </w:r>
    </w:p>
    <w:p w:rsidR="000243C1" w:rsidRPr="00B13879" w:rsidRDefault="000243C1" w:rsidP="00B13879">
      <w:pPr>
        <w:pStyle w:val="Heading3"/>
        <w:spacing w:before="0" w:after="200"/>
        <w:rPr>
          <w:sz w:val="24"/>
          <w:szCs w:val="24"/>
        </w:rPr>
      </w:pPr>
      <w:r w:rsidRPr="00B13879">
        <w:rPr>
          <w:sz w:val="24"/>
          <w:szCs w:val="24"/>
        </w:rPr>
        <w:lastRenderedPageBreak/>
        <w:t>Does the NDIS provide supports for participants who have a palliative care plan in place?</w:t>
      </w:r>
    </w:p>
    <w:p w:rsidR="000243C1" w:rsidRDefault="000243C1" w:rsidP="000243C1">
      <w:pPr>
        <w:rPr>
          <w:rFonts w:cs="Arial"/>
          <w:sz w:val="24"/>
          <w:szCs w:val="24"/>
        </w:rPr>
      </w:pPr>
      <w:r w:rsidRPr="0081239F">
        <w:rPr>
          <w:rFonts w:cs="Arial"/>
          <w:sz w:val="24"/>
          <w:szCs w:val="24"/>
        </w:rPr>
        <w:t>Where a</w:t>
      </w:r>
      <w:r>
        <w:rPr>
          <w:rFonts w:cs="Arial"/>
          <w:sz w:val="24"/>
          <w:szCs w:val="24"/>
        </w:rPr>
        <w:t xml:space="preserve"> NDIS </w:t>
      </w:r>
      <w:r w:rsidRPr="0081239F">
        <w:rPr>
          <w:rFonts w:cs="Arial"/>
          <w:sz w:val="24"/>
          <w:szCs w:val="24"/>
        </w:rPr>
        <w:t xml:space="preserve">participant has a palliative care plan in place and is not hospitalised, the NDIS will fund supports </w:t>
      </w:r>
      <w:r>
        <w:rPr>
          <w:rFonts w:cs="Arial"/>
          <w:sz w:val="24"/>
          <w:szCs w:val="24"/>
        </w:rPr>
        <w:t xml:space="preserve">required as a direct result of the disability where the support assists the participant to undertake activities of daily living. </w:t>
      </w:r>
      <w:r w:rsidRPr="0081239F">
        <w:rPr>
          <w:rFonts w:cs="Arial"/>
          <w:sz w:val="24"/>
          <w:szCs w:val="24"/>
        </w:rPr>
        <w:t xml:space="preserve">These supports </w:t>
      </w:r>
      <w:r>
        <w:rPr>
          <w:rFonts w:cs="Arial"/>
          <w:sz w:val="24"/>
          <w:szCs w:val="24"/>
        </w:rPr>
        <w:t xml:space="preserve">may </w:t>
      </w:r>
      <w:r w:rsidRPr="0081239F">
        <w:rPr>
          <w:rFonts w:cs="Arial"/>
          <w:sz w:val="24"/>
          <w:szCs w:val="24"/>
        </w:rPr>
        <w:t xml:space="preserve">be </w:t>
      </w:r>
      <w:r>
        <w:rPr>
          <w:rFonts w:cs="Arial"/>
          <w:sz w:val="24"/>
          <w:szCs w:val="24"/>
        </w:rPr>
        <w:t>provided at the same time as</w:t>
      </w:r>
      <w:r w:rsidRPr="0081239F">
        <w:rPr>
          <w:rFonts w:cs="Arial"/>
          <w:sz w:val="24"/>
          <w:szCs w:val="24"/>
        </w:rPr>
        <w:t xml:space="preserve"> palliative care supports. </w:t>
      </w:r>
    </w:p>
    <w:p w:rsidR="000243C1" w:rsidRPr="0081239F" w:rsidRDefault="000243C1" w:rsidP="000243C1">
      <w:pPr>
        <w:rPr>
          <w:rFonts w:cs="Arial"/>
          <w:sz w:val="24"/>
          <w:szCs w:val="24"/>
        </w:rPr>
      </w:pPr>
      <w:r w:rsidRPr="0081239F">
        <w:rPr>
          <w:rFonts w:cs="Arial"/>
          <w:sz w:val="24"/>
          <w:szCs w:val="24"/>
        </w:rPr>
        <w:t>The NDIS is, however, not responsible for palliative care.</w:t>
      </w:r>
      <w:r>
        <w:rPr>
          <w:rFonts w:cs="Arial"/>
          <w:sz w:val="24"/>
          <w:szCs w:val="24"/>
        </w:rPr>
        <w:t xml:space="preserve"> As set out in Council of Australian Governments’ agreed </w:t>
      </w:r>
      <w:r>
        <w:rPr>
          <w:rFonts w:cs="Arial"/>
          <w:i/>
          <w:sz w:val="24"/>
          <w:szCs w:val="24"/>
        </w:rPr>
        <w:t xml:space="preserve">Principles to Determine the Responsibilities of the NDIS and Other Service Systems </w:t>
      </w:r>
      <w:r>
        <w:rPr>
          <w:rFonts w:cs="Arial"/>
          <w:sz w:val="24"/>
          <w:szCs w:val="24"/>
        </w:rPr>
        <w:t>(including the Applied Principles and Tables of Support (APTOS)),</w:t>
      </w:r>
      <w:r w:rsidRPr="0081239F">
        <w:rPr>
          <w:rFonts w:cs="Arial"/>
          <w:sz w:val="24"/>
          <w:szCs w:val="24"/>
        </w:rPr>
        <w:t xml:space="preserve"> </w:t>
      </w:r>
      <w:r>
        <w:rPr>
          <w:rFonts w:cs="Arial"/>
          <w:sz w:val="24"/>
          <w:szCs w:val="24"/>
        </w:rPr>
        <w:t>p</w:t>
      </w:r>
      <w:r w:rsidRPr="0081239F">
        <w:rPr>
          <w:rFonts w:cs="Arial"/>
          <w:sz w:val="24"/>
          <w:szCs w:val="24"/>
        </w:rPr>
        <w:t xml:space="preserve">alliative care is </w:t>
      </w:r>
      <w:r>
        <w:rPr>
          <w:rFonts w:cs="Arial"/>
          <w:sz w:val="24"/>
          <w:szCs w:val="24"/>
        </w:rPr>
        <w:t>provided by the health system.</w:t>
      </w:r>
    </w:p>
    <w:p w:rsidR="000243C1" w:rsidRPr="00B13879" w:rsidRDefault="000243C1" w:rsidP="00B13879">
      <w:pPr>
        <w:pStyle w:val="Heading3"/>
        <w:spacing w:before="0" w:after="200"/>
        <w:rPr>
          <w:sz w:val="24"/>
          <w:szCs w:val="24"/>
        </w:rPr>
      </w:pPr>
      <w:r w:rsidRPr="00B13879">
        <w:rPr>
          <w:sz w:val="24"/>
          <w:szCs w:val="24"/>
        </w:rPr>
        <w:t>How is value for money considered when determining what supports will be funded by the NDIS?</w:t>
      </w:r>
    </w:p>
    <w:p w:rsidR="000243C1" w:rsidRPr="0081239F" w:rsidRDefault="000243C1" w:rsidP="000243C1">
      <w:pPr>
        <w:keepNext/>
        <w:keepLines/>
        <w:rPr>
          <w:rFonts w:cs="Arial"/>
          <w:sz w:val="24"/>
          <w:szCs w:val="24"/>
        </w:rPr>
      </w:pPr>
      <w:r w:rsidRPr="0081239F">
        <w:rPr>
          <w:rFonts w:cs="Arial"/>
          <w:sz w:val="24"/>
          <w:szCs w:val="24"/>
        </w:rPr>
        <w:t xml:space="preserve">Value for money relates to the cost of a product or service as well as the quality and / or benefits of that product or service. </w:t>
      </w:r>
    </w:p>
    <w:p w:rsidR="000243C1" w:rsidRPr="0081239F" w:rsidRDefault="000243C1" w:rsidP="000243C1">
      <w:pPr>
        <w:rPr>
          <w:rFonts w:cs="Arial"/>
          <w:sz w:val="24"/>
          <w:szCs w:val="24"/>
        </w:rPr>
      </w:pPr>
      <w:r w:rsidRPr="0081239F">
        <w:rPr>
          <w:rFonts w:cs="Arial"/>
          <w:sz w:val="24"/>
          <w:szCs w:val="24"/>
        </w:rPr>
        <w:t>In the context of what supports will be funded by the NDIS, the NDIA considers whether the costs of the support are reasonable compared to the benefits that the support will provide</w:t>
      </w:r>
      <w:r>
        <w:rPr>
          <w:rFonts w:cs="Arial"/>
          <w:sz w:val="24"/>
          <w:szCs w:val="24"/>
        </w:rPr>
        <w:t>,</w:t>
      </w:r>
      <w:r w:rsidRPr="0081239F">
        <w:rPr>
          <w:rFonts w:cs="Arial"/>
          <w:sz w:val="24"/>
          <w:szCs w:val="24"/>
        </w:rPr>
        <w:t xml:space="preserve"> as well as the cost of alternative supports. As such, value for money considerations apply to the type and extent of a support.</w:t>
      </w:r>
    </w:p>
    <w:p w:rsidR="000243C1" w:rsidRPr="0081239F" w:rsidRDefault="000243C1" w:rsidP="000243C1">
      <w:pPr>
        <w:rPr>
          <w:rFonts w:cs="Arial"/>
          <w:sz w:val="24"/>
          <w:szCs w:val="24"/>
        </w:rPr>
      </w:pPr>
      <w:r w:rsidRPr="0081239F">
        <w:rPr>
          <w:rFonts w:cs="Arial"/>
          <w:sz w:val="24"/>
          <w:szCs w:val="24"/>
        </w:rPr>
        <w:t xml:space="preserve">While the NDIA is required to consider whether it is more appropriate for another system to provide a support, this consideration is separate to value for money considerations.  </w:t>
      </w:r>
    </w:p>
    <w:p w:rsidR="000243C1" w:rsidRPr="00B13879" w:rsidRDefault="000243C1" w:rsidP="00B13879">
      <w:pPr>
        <w:pStyle w:val="Heading3"/>
        <w:spacing w:before="0" w:after="200"/>
        <w:rPr>
          <w:sz w:val="24"/>
          <w:szCs w:val="24"/>
        </w:rPr>
      </w:pPr>
      <w:r w:rsidRPr="00B13879">
        <w:rPr>
          <w:sz w:val="24"/>
          <w:szCs w:val="24"/>
        </w:rPr>
        <w:t>Is the support of families, carers and informal networks taken into consideration when a plan is developed?</w:t>
      </w:r>
    </w:p>
    <w:p w:rsidR="000243C1" w:rsidRPr="0081239F" w:rsidRDefault="000243C1" w:rsidP="000243C1">
      <w:pPr>
        <w:keepNext/>
        <w:keepLines/>
        <w:rPr>
          <w:rFonts w:cs="Arial"/>
          <w:sz w:val="24"/>
          <w:szCs w:val="24"/>
        </w:rPr>
      </w:pPr>
      <w:r w:rsidRPr="0081239F">
        <w:rPr>
          <w:rFonts w:cs="Arial"/>
          <w:sz w:val="24"/>
          <w:szCs w:val="24"/>
        </w:rPr>
        <w:t xml:space="preserve">When determining what supports are included in an NDIS </w:t>
      </w:r>
      <w:r>
        <w:rPr>
          <w:rFonts w:cs="Arial"/>
          <w:sz w:val="24"/>
          <w:szCs w:val="24"/>
        </w:rPr>
        <w:t>p</w:t>
      </w:r>
      <w:r w:rsidRPr="0081239F">
        <w:rPr>
          <w:rFonts w:cs="Arial"/>
          <w:sz w:val="24"/>
          <w:szCs w:val="24"/>
        </w:rPr>
        <w:t xml:space="preserve">lan, the ability of families, carers, informal networks and the community to fulfil support needs are considered </w:t>
      </w:r>
      <w:r>
        <w:rPr>
          <w:rFonts w:cs="Arial"/>
          <w:sz w:val="24"/>
          <w:szCs w:val="24"/>
        </w:rPr>
        <w:t xml:space="preserve">so </w:t>
      </w:r>
      <w:r w:rsidRPr="0081239F">
        <w:rPr>
          <w:rFonts w:cs="Arial"/>
          <w:sz w:val="24"/>
          <w:szCs w:val="24"/>
        </w:rPr>
        <w:t xml:space="preserve">that the expectations of these supports are not unreasonable or unsafe for the participant. </w:t>
      </w:r>
    </w:p>
    <w:p w:rsidR="000243C1" w:rsidRPr="0081239F" w:rsidRDefault="000243C1" w:rsidP="000243C1">
      <w:pPr>
        <w:shd w:val="clear" w:color="auto" w:fill="FFFFFF" w:themeFill="background1"/>
        <w:rPr>
          <w:rFonts w:eastAsia="Arial" w:cs="Arial"/>
          <w:sz w:val="24"/>
          <w:szCs w:val="24"/>
          <w:lang w:eastAsia="en-AU"/>
        </w:rPr>
      </w:pPr>
      <w:r w:rsidRPr="0081239F">
        <w:rPr>
          <w:rFonts w:eastAsia="Arial" w:cs="Arial"/>
          <w:sz w:val="24"/>
          <w:szCs w:val="24"/>
          <w:lang w:eastAsia="en-AU"/>
        </w:rPr>
        <w:t xml:space="preserve">Where care is ‘above and beyond’ what would generally be expected of informal supports, </w:t>
      </w:r>
      <w:r>
        <w:rPr>
          <w:rFonts w:eastAsia="Arial" w:cs="Arial"/>
          <w:sz w:val="24"/>
          <w:szCs w:val="24"/>
          <w:lang w:eastAsia="en-AU"/>
        </w:rPr>
        <w:t xml:space="preserve">or where formal supports are not available, funded </w:t>
      </w:r>
      <w:r w:rsidRPr="0081239F">
        <w:rPr>
          <w:rFonts w:eastAsia="Arial" w:cs="Arial"/>
          <w:sz w:val="24"/>
          <w:szCs w:val="24"/>
          <w:lang w:eastAsia="en-AU"/>
        </w:rPr>
        <w:t xml:space="preserve">supports are included in a participant’s NDIS plan to ensure their needs are met. </w:t>
      </w:r>
    </w:p>
    <w:p w:rsidR="000243C1" w:rsidRPr="0081239F" w:rsidRDefault="000243C1" w:rsidP="000243C1">
      <w:pPr>
        <w:shd w:val="clear" w:color="auto" w:fill="FFFFFF" w:themeFill="background1"/>
        <w:rPr>
          <w:rFonts w:eastAsia="Arial" w:cs="Arial"/>
          <w:sz w:val="24"/>
          <w:szCs w:val="24"/>
          <w:lang w:eastAsia="en-AU"/>
        </w:rPr>
      </w:pPr>
      <w:r w:rsidRPr="0081239F">
        <w:rPr>
          <w:rFonts w:eastAsia="Arial" w:cs="Arial"/>
          <w:sz w:val="24"/>
          <w:szCs w:val="24"/>
          <w:lang w:eastAsia="en-AU"/>
        </w:rPr>
        <w:t xml:space="preserve">The role of informal supports will always be assessed on a case-by-case basis and take into consideration each participant’s individual circumstances. </w:t>
      </w:r>
    </w:p>
    <w:p w:rsidR="00AF2F02" w:rsidRPr="000243C1" w:rsidRDefault="00AF2F02" w:rsidP="000243C1"/>
    <w:sectPr w:rsidR="00AF2F02" w:rsidRPr="000243C1" w:rsidSect="004377B1">
      <w:headerReference w:type="default" r:id="rId9"/>
      <w:footerReference w:type="default" r:id="rId10"/>
      <w:pgSz w:w="11906" w:h="16838"/>
      <w:pgMar w:top="567" w:right="991" w:bottom="851" w:left="1440" w:header="708" w:footer="3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6C33" w:rsidRDefault="00036C33" w:rsidP="00B04ED8">
      <w:pPr>
        <w:spacing w:after="0" w:line="240" w:lineRule="auto"/>
      </w:pPr>
      <w:r>
        <w:separator/>
      </w:r>
    </w:p>
  </w:endnote>
  <w:endnote w:type="continuationSeparator" w:id="0">
    <w:p w:rsidR="00036C33" w:rsidRDefault="00036C33" w:rsidP="00B04E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2698512"/>
      <w:docPartObj>
        <w:docPartGallery w:val="Page Numbers (Bottom of Page)"/>
        <w:docPartUnique/>
      </w:docPartObj>
    </w:sdtPr>
    <w:sdtEndPr>
      <w:rPr>
        <w:noProof/>
      </w:rPr>
    </w:sdtEndPr>
    <w:sdtContent>
      <w:p w:rsidR="00573B0C" w:rsidRDefault="00573B0C">
        <w:pPr>
          <w:pStyle w:val="Footer"/>
          <w:jc w:val="right"/>
        </w:pPr>
        <w:r>
          <w:fldChar w:fldCharType="begin"/>
        </w:r>
        <w:r>
          <w:instrText xml:space="preserve"> PAGE   \* MERGEFORMAT </w:instrText>
        </w:r>
        <w:r>
          <w:fldChar w:fldCharType="separate"/>
        </w:r>
        <w:r w:rsidR="00600EC1">
          <w:rPr>
            <w:noProof/>
          </w:rPr>
          <w:t>2</w:t>
        </w:r>
        <w:r>
          <w:rPr>
            <w:noProof/>
          </w:rPr>
          <w:fldChar w:fldCharType="end"/>
        </w:r>
      </w:p>
    </w:sdtContent>
  </w:sdt>
  <w:p w:rsidR="00573B0C" w:rsidRDefault="00573B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6C33" w:rsidRDefault="00036C33" w:rsidP="00B04ED8">
      <w:pPr>
        <w:spacing w:after="0" w:line="240" w:lineRule="auto"/>
      </w:pPr>
      <w:r>
        <w:separator/>
      </w:r>
    </w:p>
  </w:footnote>
  <w:footnote w:type="continuationSeparator" w:id="0">
    <w:p w:rsidR="00036C33" w:rsidRDefault="00036C33" w:rsidP="00B04E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ED8" w:rsidRDefault="00B04E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B69C3"/>
    <w:multiLevelType w:val="hybridMultilevel"/>
    <w:tmpl w:val="722A4DF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99E21F5"/>
    <w:multiLevelType w:val="hybridMultilevel"/>
    <w:tmpl w:val="00A89CF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380" w:hanging="360"/>
      </w:pPr>
      <w:rPr>
        <w:rFonts w:ascii="Courier New" w:hAnsi="Courier New" w:cs="Courier New" w:hint="default"/>
      </w:rPr>
    </w:lvl>
    <w:lvl w:ilvl="2" w:tplc="0C090005" w:tentative="1">
      <w:start w:val="1"/>
      <w:numFmt w:val="bullet"/>
      <w:lvlText w:val=""/>
      <w:lvlJc w:val="left"/>
      <w:pPr>
        <w:ind w:left="2100" w:hanging="360"/>
      </w:pPr>
      <w:rPr>
        <w:rFonts w:ascii="Wingdings" w:hAnsi="Wingdings" w:hint="default"/>
      </w:rPr>
    </w:lvl>
    <w:lvl w:ilvl="3" w:tplc="0C090001" w:tentative="1">
      <w:start w:val="1"/>
      <w:numFmt w:val="bullet"/>
      <w:lvlText w:val=""/>
      <w:lvlJc w:val="left"/>
      <w:pPr>
        <w:ind w:left="2820" w:hanging="360"/>
      </w:pPr>
      <w:rPr>
        <w:rFonts w:ascii="Symbol" w:hAnsi="Symbol" w:hint="default"/>
      </w:rPr>
    </w:lvl>
    <w:lvl w:ilvl="4" w:tplc="0C090003" w:tentative="1">
      <w:start w:val="1"/>
      <w:numFmt w:val="bullet"/>
      <w:lvlText w:val="o"/>
      <w:lvlJc w:val="left"/>
      <w:pPr>
        <w:ind w:left="3540" w:hanging="360"/>
      </w:pPr>
      <w:rPr>
        <w:rFonts w:ascii="Courier New" w:hAnsi="Courier New" w:cs="Courier New" w:hint="default"/>
      </w:rPr>
    </w:lvl>
    <w:lvl w:ilvl="5" w:tplc="0C090005" w:tentative="1">
      <w:start w:val="1"/>
      <w:numFmt w:val="bullet"/>
      <w:lvlText w:val=""/>
      <w:lvlJc w:val="left"/>
      <w:pPr>
        <w:ind w:left="4260" w:hanging="360"/>
      </w:pPr>
      <w:rPr>
        <w:rFonts w:ascii="Wingdings" w:hAnsi="Wingdings" w:hint="default"/>
      </w:rPr>
    </w:lvl>
    <w:lvl w:ilvl="6" w:tplc="0C090001" w:tentative="1">
      <w:start w:val="1"/>
      <w:numFmt w:val="bullet"/>
      <w:lvlText w:val=""/>
      <w:lvlJc w:val="left"/>
      <w:pPr>
        <w:ind w:left="4980" w:hanging="360"/>
      </w:pPr>
      <w:rPr>
        <w:rFonts w:ascii="Symbol" w:hAnsi="Symbol" w:hint="default"/>
      </w:rPr>
    </w:lvl>
    <w:lvl w:ilvl="7" w:tplc="0C090003" w:tentative="1">
      <w:start w:val="1"/>
      <w:numFmt w:val="bullet"/>
      <w:lvlText w:val="o"/>
      <w:lvlJc w:val="left"/>
      <w:pPr>
        <w:ind w:left="5700" w:hanging="360"/>
      </w:pPr>
      <w:rPr>
        <w:rFonts w:ascii="Courier New" w:hAnsi="Courier New" w:cs="Courier New" w:hint="default"/>
      </w:rPr>
    </w:lvl>
    <w:lvl w:ilvl="8" w:tplc="0C090005" w:tentative="1">
      <w:start w:val="1"/>
      <w:numFmt w:val="bullet"/>
      <w:lvlText w:val=""/>
      <w:lvlJc w:val="left"/>
      <w:pPr>
        <w:ind w:left="6420" w:hanging="360"/>
      </w:pPr>
      <w:rPr>
        <w:rFonts w:ascii="Wingdings" w:hAnsi="Wingdings" w:hint="default"/>
      </w:rPr>
    </w:lvl>
  </w:abstractNum>
  <w:abstractNum w:abstractNumId="2" w15:restartNumberingAfterBreak="0">
    <w:nsid w:val="20BB5EBB"/>
    <w:multiLevelType w:val="hybridMultilevel"/>
    <w:tmpl w:val="F6F8181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3DC2783F"/>
    <w:multiLevelType w:val="hybridMultilevel"/>
    <w:tmpl w:val="960CEEC0"/>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4BB3587B"/>
    <w:multiLevelType w:val="hybridMultilevel"/>
    <w:tmpl w:val="83E683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4BF363FA"/>
    <w:multiLevelType w:val="hybridMultilevel"/>
    <w:tmpl w:val="8904F79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561238A2"/>
    <w:multiLevelType w:val="hybridMultilevel"/>
    <w:tmpl w:val="BAFCF01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5E0D75A4"/>
    <w:multiLevelType w:val="hybridMultilevel"/>
    <w:tmpl w:val="137CD324"/>
    <w:lvl w:ilvl="0" w:tplc="9020C35A">
      <w:start w:val="1"/>
      <w:numFmt w:val="bullet"/>
      <w:lvlText w:val=""/>
      <w:lvlJc w:val="left"/>
      <w:pPr>
        <w:ind w:left="360" w:hanging="360"/>
      </w:pPr>
      <w:rPr>
        <w:rFonts w:ascii="Symbol" w:hAnsi="Symbol" w:hint="default"/>
        <w:color w:val="auto"/>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4"/>
  </w:num>
  <w:num w:numId="2">
    <w:abstractNumId w:val="0"/>
  </w:num>
  <w:num w:numId="3">
    <w:abstractNumId w:val="2"/>
  </w:num>
  <w:num w:numId="4">
    <w:abstractNumId w:val="5"/>
  </w:num>
  <w:num w:numId="5">
    <w:abstractNumId w:val="7"/>
  </w:num>
  <w:num w:numId="6">
    <w:abstractNumId w:val="3"/>
  </w:num>
  <w:num w:numId="7">
    <w:abstractNumId w:val="1"/>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56B"/>
    <w:rsid w:val="00005633"/>
    <w:rsid w:val="000131FE"/>
    <w:rsid w:val="00017532"/>
    <w:rsid w:val="000243C1"/>
    <w:rsid w:val="00027CD8"/>
    <w:rsid w:val="00035AC6"/>
    <w:rsid w:val="00036C33"/>
    <w:rsid w:val="00092A0F"/>
    <w:rsid w:val="000D1676"/>
    <w:rsid w:val="000D7D6D"/>
    <w:rsid w:val="000E1419"/>
    <w:rsid w:val="001122E6"/>
    <w:rsid w:val="00171E15"/>
    <w:rsid w:val="001735CD"/>
    <w:rsid w:val="00174F40"/>
    <w:rsid w:val="001A2DAB"/>
    <w:rsid w:val="001B2CDA"/>
    <w:rsid w:val="001D5A25"/>
    <w:rsid w:val="001E630D"/>
    <w:rsid w:val="00205851"/>
    <w:rsid w:val="00210B0E"/>
    <w:rsid w:val="002412A5"/>
    <w:rsid w:val="002520D8"/>
    <w:rsid w:val="00284DC9"/>
    <w:rsid w:val="00284F78"/>
    <w:rsid w:val="0028558F"/>
    <w:rsid w:val="002A20F2"/>
    <w:rsid w:val="002B4085"/>
    <w:rsid w:val="002C192A"/>
    <w:rsid w:val="002C32D8"/>
    <w:rsid w:val="002C453A"/>
    <w:rsid w:val="002D4AE9"/>
    <w:rsid w:val="0030283D"/>
    <w:rsid w:val="00303A96"/>
    <w:rsid w:val="003234C6"/>
    <w:rsid w:val="00360721"/>
    <w:rsid w:val="00364A73"/>
    <w:rsid w:val="003A53DA"/>
    <w:rsid w:val="003B2BB8"/>
    <w:rsid w:val="003D34FF"/>
    <w:rsid w:val="003D5140"/>
    <w:rsid w:val="003F1365"/>
    <w:rsid w:val="004377B1"/>
    <w:rsid w:val="00442264"/>
    <w:rsid w:val="00491824"/>
    <w:rsid w:val="0049468B"/>
    <w:rsid w:val="004A12C0"/>
    <w:rsid w:val="004B54CA"/>
    <w:rsid w:val="004C524E"/>
    <w:rsid w:val="004E5CBF"/>
    <w:rsid w:val="0050744D"/>
    <w:rsid w:val="00543135"/>
    <w:rsid w:val="00573B0C"/>
    <w:rsid w:val="0058039D"/>
    <w:rsid w:val="005A0E78"/>
    <w:rsid w:val="005B1E6F"/>
    <w:rsid w:val="005B2818"/>
    <w:rsid w:val="005C3AA9"/>
    <w:rsid w:val="005D0D19"/>
    <w:rsid w:val="00600EC1"/>
    <w:rsid w:val="00613234"/>
    <w:rsid w:val="00613538"/>
    <w:rsid w:val="00621FC5"/>
    <w:rsid w:val="006375B1"/>
    <w:rsid w:val="00637B02"/>
    <w:rsid w:val="006547C4"/>
    <w:rsid w:val="00656CC2"/>
    <w:rsid w:val="0067067E"/>
    <w:rsid w:val="00683A84"/>
    <w:rsid w:val="006963E7"/>
    <w:rsid w:val="006A4CE7"/>
    <w:rsid w:val="006E708E"/>
    <w:rsid w:val="00702BEE"/>
    <w:rsid w:val="007150FD"/>
    <w:rsid w:val="007306BE"/>
    <w:rsid w:val="007375D8"/>
    <w:rsid w:val="00741954"/>
    <w:rsid w:val="00770E16"/>
    <w:rsid w:val="00785261"/>
    <w:rsid w:val="00793C21"/>
    <w:rsid w:val="00797AEC"/>
    <w:rsid w:val="007A3202"/>
    <w:rsid w:val="007B0256"/>
    <w:rsid w:val="007D77C0"/>
    <w:rsid w:val="007E5835"/>
    <w:rsid w:val="0081239F"/>
    <w:rsid w:val="008163DA"/>
    <w:rsid w:val="00821490"/>
    <w:rsid w:val="0082149B"/>
    <w:rsid w:val="0083177B"/>
    <w:rsid w:val="00837AC0"/>
    <w:rsid w:val="00877635"/>
    <w:rsid w:val="00887786"/>
    <w:rsid w:val="008F38BC"/>
    <w:rsid w:val="0091306A"/>
    <w:rsid w:val="009225F0"/>
    <w:rsid w:val="00930DA4"/>
    <w:rsid w:val="0093462C"/>
    <w:rsid w:val="009366F8"/>
    <w:rsid w:val="0094656B"/>
    <w:rsid w:val="00953795"/>
    <w:rsid w:val="00954497"/>
    <w:rsid w:val="00955D77"/>
    <w:rsid w:val="00974189"/>
    <w:rsid w:val="009D3E40"/>
    <w:rsid w:val="009F527F"/>
    <w:rsid w:val="00A02305"/>
    <w:rsid w:val="00A032F0"/>
    <w:rsid w:val="00A40E03"/>
    <w:rsid w:val="00A5536B"/>
    <w:rsid w:val="00A9527F"/>
    <w:rsid w:val="00AF2F02"/>
    <w:rsid w:val="00B04ED8"/>
    <w:rsid w:val="00B13879"/>
    <w:rsid w:val="00B63D07"/>
    <w:rsid w:val="00B91E3E"/>
    <w:rsid w:val="00BA2DB9"/>
    <w:rsid w:val="00BE7148"/>
    <w:rsid w:val="00BF14A7"/>
    <w:rsid w:val="00C84DD7"/>
    <w:rsid w:val="00CA0C78"/>
    <w:rsid w:val="00CA15A2"/>
    <w:rsid w:val="00CB1CD1"/>
    <w:rsid w:val="00CB5863"/>
    <w:rsid w:val="00CE5989"/>
    <w:rsid w:val="00CF1B79"/>
    <w:rsid w:val="00CF4BB7"/>
    <w:rsid w:val="00CF77CA"/>
    <w:rsid w:val="00D10C4D"/>
    <w:rsid w:val="00D150E1"/>
    <w:rsid w:val="00D202E9"/>
    <w:rsid w:val="00D40622"/>
    <w:rsid w:val="00D83ED7"/>
    <w:rsid w:val="00DA243A"/>
    <w:rsid w:val="00DA3001"/>
    <w:rsid w:val="00DE1EA2"/>
    <w:rsid w:val="00DE68A4"/>
    <w:rsid w:val="00E11E38"/>
    <w:rsid w:val="00E241BE"/>
    <w:rsid w:val="00E273E4"/>
    <w:rsid w:val="00E40124"/>
    <w:rsid w:val="00E73DE8"/>
    <w:rsid w:val="00E7567C"/>
    <w:rsid w:val="00E91B68"/>
    <w:rsid w:val="00EB4E70"/>
    <w:rsid w:val="00F07936"/>
    <w:rsid w:val="00F30AFE"/>
    <w:rsid w:val="00F472E9"/>
    <w:rsid w:val="00F738A3"/>
    <w:rsid w:val="00F87B19"/>
    <w:rsid w:val="00FE788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4CA"/>
    <w:rPr>
      <w:rFonts w:ascii="Arial" w:hAnsi="Arial"/>
    </w:rPr>
  </w:style>
  <w:style w:type="paragraph" w:styleId="Heading1">
    <w:name w:val="heading 1"/>
    <w:basedOn w:val="Normal"/>
    <w:next w:val="Normal"/>
    <w:link w:val="Heading1Char"/>
    <w:uiPriority w:val="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aliases w:val="List Paragraph11,List Paragraph1,L,Bullet point,List Paragraph111,F5 List Paragraph,Dot pt,CV text,Table text,Medium Grid 1 - Accent 21,Numbered Paragraph,List Paragraph2,NFP GP Bulleted List,FooterText,numbered,列出段,0Bullet,Dot Point,列出段落"/>
    <w:basedOn w:val="Normal"/>
    <w:link w:val="ListParagraphChar"/>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uiPriority w:val="99"/>
    <w:unhideWhenUsed/>
    <w:rsid w:val="00B04E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4ED8"/>
    <w:rPr>
      <w:rFonts w:ascii="Arial" w:hAnsi="Arial"/>
    </w:rPr>
  </w:style>
  <w:style w:type="paragraph" w:styleId="Footer">
    <w:name w:val="footer"/>
    <w:basedOn w:val="Normal"/>
    <w:link w:val="FooterChar"/>
    <w:uiPriority w:val="99"/>
    <w:unhideWhenUsed/>
    <w:rsid w:val="00B04E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4ED8"/>
    <w:rPr>
      <w:rFonts w:ascii="Arial" w:hAnsi="Arial"/>
    </w:rPr>
  </w:style>
  <w:style w:type="character" w:customStyle="1" w:styleId="ListParagraphChar">
    <w:name w:val="List Paragraph Char"/>
    <w:aliases w:val="List Paragraph11 Char,List Paragraph1 Char,L Char,Bullet point Char,List Paragraph111 Char,F5 List Paragraph Char,Dot pt Char,CV text Char,Table text Char,Medium Grid 1 - Accent 21 Char,Numbered Paragraph Char,List Paragraph2 Char"/>
    <w:link w:val="ListParagraph"/>
    <w:uiPriority w:val="34"/>
    <w:qFormat/>
    <w:locked/>
    <w:rsid w:val="00E40124"/>
    <w:rPr>
      <w:rFonts w:ascii="Arial" w:hAnsi="Arial"/>
    </w:rPr>
  </w:style>
  <w:style w:type="table" w:customStyle="1" w:styleId="TableGrid2">
    <w:name w:val="Table Grid2"/>
    <w:basedOn w:val="TableNormal"/>
    <w:next w:val="TableGrid"/>
    <w:uiPriority w:val="39"/>
    <w:rsid w:val="00E401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E401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9527F"/>
    <w:rPr>
      <w:color w:val="0000FF" w:themeColor="hyperlink"/>
      <w:u w:val="single"/>
    </w:rPr>
  </w:style>
  <w:style w:type="paragraph" w:styleId="BalloonText">
    <w:name w:val="Balloon Text"/>
    <w:basedOn w:val="Normal"/>
    <w:link w:val="BalloonTextChar"/>
    <w:uiPriority w:val="99"/>
    <w:semiHidden/>
    <w:unhideWhenUsed/>
    <w:rsid w:val="00A952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527F"/>
    <w:rPr>
      <w:rFonts w:ascii="Segoe UI" w:hAnsi="Segoe UI" w:cs="Segoe UI"/>
      <w:sz w:val="18"/>
      <w:szCs w:val="18"/>
    </w:rPr>
  </w:style>
  <w:style w:type="character" w:styleId="CommentReference">
    <w:name w:val="annotation reference"/>
    <w:basedOn w:val="DefaultParagraphFont"/>
    <w:uiPriority w:val="99"/>
    <w:semiHidden/>
    <w:unhideWhenUsed/>
    <w:rsid w:val="001A2DAB"/>
    <w:rPr>
      <w:sz w:val="16"/>
      <w:szCs w:val="16"/>
    </w:rPr>
  </w:style>
  <w:style w:type="paragraph" w:styleId="CommentText">
    <w:name w:val="annotation text"/>
    <w:basedOn w:val="Normal"/>
    <w:link w:val="CommentTextChar"/>
    <w:uiPriority w:val="99"/>
    <w:semiHidden/>
    <w:unhideWhenUsed/>
    <w:rsid w:val="001A2DAB"/>
    <w:pPr>
      <w:spacing w:line="240" w:lineRule="auto"/>
    </w:pPr>
    <w:rPr>
      <w:sz w:val="20"/>
      <w:szCs w:val="20"/>
    </w:rPr>
  </w:style>
  <w:style w:type="character" w:customStyle="1" w:styleId="CommentTextChar">
    <w:name w:val="Comment Text Char"/>
    <w:basedOn w:val="DefaultParagraphFont"/>
    <w:link w:val="CommentText"/>
    <w:uiPriority w:val="99"/>
    <w:semiHidden/>
    <w:rsid w:val="001A2DAB"/>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1A2DAB"/>
    <w:rPr>
      <w:b/>
      <w:bCs/>
    </w:rPr>
  </w:style>
  <w:style w:type="character" w:customStyle="1" w:styleId="CommentSubjectChar">
    <w:name w:val="Comment Subject Char"/>
    <w:basedOn w:val="CommentTextChar"/>
    <w:link w:val="CommentSubject"/>
    <w:uiPriority w:val="99"/>
    <w:semiHidden/>
    <w:rsid w:val="001A2DAB"/>
    <w:rPr>
      <w:rFonts w:ascii="Arial" w:hAnsi="Arial"/>
      <w:b/>
      <w:bCs/>
      <w:sz w:val="20"/>
      <w:szCs w:val="20"/>
    </w:rPr>
  </w:style>
  <w:style w:type="paragraph" w:styleId="Revision">
    <w:name w:val="Revision"/>
    <w:hidden/>
    <w:uiPriority w:val="99"/>
    <w:semiHidden/>
    <w:rsid w:val="001A2DAB"/>
    <w:pPr>
      <w:spacing w:after="0" w:line="240" w:lineRule="auto"/>
    </w:pPr>
    <w:rPr>
      <w:rFonts w:ascii="Arial" w:hAnsi="Arial"/>
    </w:rPr>
  </w:style>
  <w:style w:type="character" w:styleId="FollowedHyperlink">
    <w:name w:val="FollowedHyperlink"/>
    <w:basedOn w:val="DefaultParagraphFont"/>
    <w:uiPriority w:val="99"/>
    <w:semiHidden/>
    <w:unhideWhenUsed/>
    <w:rsid w:val="0028558F"/>
    <w:rPr>
      <w:color w:val="800080" w:themeColor="followedHyperlink"/>
      <w:u w:val="single"/>
    </w:rPr>
  </w:style>
  <w:style w:type="table" w:customStyle="1" w:styleId="TableGrid21">
    <w:name w:val="Table Grid21"/>
    <w:basedOn w:val="TableNormal"/>
    <w:next w:val="TableGrid"/>
    <w:uiPriority w:val="39"/>
    <w:rsid w:val="000243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504347">
      <w:bodyDiv w:val="1"/>
      <w:marLeft w:val="0"/>
      <w:marRight w:val="0"/>
      <w:marTop w:val="0"/>
      <w:marBottom w:val="0"/>
      <w:divBdr>
        <w:top w:val="none" w:sz="0" w:space="0" w:color="auto"/>
        <w:left w:val="none" w:sz="0" w:space="0" w:color="auto"/>
        <w:bottom w:val="none" w:sz="0" w:space="0" w:color="auto"/>
        <w:right w:val="none" w:sz="0" w:space="0" w:color="auto"/>
      </w:divBdr>
    </w:div>
    <w:div w:id="1257254547">
      <w:bodyDiv w:val="1"/>
      <w:marLeft w:val="0"/>
      <w:marRight w:val="0"/>
      <w:marTop w:val="0"/>
      <w:marBottom w:val="0"/>
      <w:divBdr>
        <w:top w:val="none" w:sz="0" w:space="0" w:color="auto"/>
        <w:left w:val="none" w:sz="0" w:space="0" w:color="auto"/>
        <w:bottom w:val="none" w:sz="0" w:space="0" w:color="auto"/>
        <w:right w:val="none" w:sz="0" w:space="0" w:color="auto"/>
      </w:divBdr>
      <w:divsChild>
        <w:div w:id="1664309046">
          <w:marLeft w:val="0"/>
          <w:marRight w:val="0"/>
          <w:marTop w:val="0"/>
          <w:marBottom w:val="0"/>
          <w:divBdr>
            <w:top w:val="none" w:sz="0" w:space="0" w:color="auto"/>
            <w:left w:val="none" w:sz="0" w:space="0" w:color="auto"/>
            <w:bottom w:val="none" w:sz="0" w:space="0" w:color="auto"/>
            <w:right w:val="none" w:sz="0" w:space="0" w:color="auto"/>
          </w:divBdr>
        </w:div>
      </w:divsChild>
    </w:div>
    <w:div w:id="1265917874">
      <w:bodyDiv w:val="1"/>
      <w:marLeft w:val="0"/>
      <w:marRight w:val="0"/>
      <w:marTop w:val="0"/>
      <w:marBottom w:val="0"/>
      <w:divBdr>
        <w:top w:val="none" w:sz="0" w:space="0" w:color="auto"/>
        <w:left w:val="none" w:sz="0" w:space="0" w:color="auto"/>
        <w:bottom w:val="none" w:sz="0" w:space="0" w:color="auto"/>
        <w:right w:val="none" w:sz="0" w:space="0" w:color="auto"/>
      </w:divBdr>
    </w:div>
    <w:div w:id="1948655515">
      <w:bodyDiv w:val="1"/>
      <w:marLeft w:val="0"/>
      <w:marRight w:val="0"/>
      <w:marTop w:val="0"/>
      <w:marBottom w:val="0"/>
      <w:divBdr>
        <w:top w:val="none" w:sz="0" w:space="0" w:color="auto"/>
        <w:left w:val="none" w:sz="0" w:space="0" w:color="auto"/>
        <w:bottom w:val="none" w:sz="0" w:space="0" w:color="auto"/>
        <w:right w:val="none" w:sz="0" w:space="0" w:color="auto"/>
      </w:divBdr>
    </w:div>
    <w:div w:id="2066833554">
      <w:bodyDiv w:val="1"/>
      <w:marLeft w:val="0"/>
      <w:marRight w:val="0"/>
      <w:marTop w:val="0"/>
      <w:marBottom w:val="0"/>
      <w:divBdr>
        <w:top w:val="none" w:sz="0" w:space="0" w:color="auto"/>
        <w:left w:val="none" w:sz="0" w:space="0" w:color="auto"/>
        <w:bottom w:val="none" w:sz="0" w:space="0" w:color="auto"/>
        <w:right w:val="none" w:sz="0" w:space="0" w:color="auto"/>
      </w:divBdr>
      <w:divsChild>
        <w:div w:id="1869298999">
          <w:marLeft w:val="0"/>
          <w:marRight w:val="0"/>
          <w:marTop w:val="0"/>
          <w:marBottom w:val="0"/>
          <w:divBdr>
            <w:top w:val="none" w:sz="0" w:space="0" w:color="auto"/>
            <w:left w:val="none" w:sz="0" w:space="0" w:color="auto"/>
            <w:bottom w:val="none" w:sz="0" w:space="0" w:color="auto"/>
            <w:right w:val="none" w:sz="0" w:space="0" w:color="auto"/>
          </w:divBdr>
        </w:div>
      </w:divsChild>
    </w:div>
    <w:div w:id="2092853776">
      <w:bodyDiv w:val="1"/>
      <w:marLeft w:val="0"/>
      <w:marRight w:val="0"/>
      <w:marTop w:val="0"/>
      <w:marBottom w:val="0"/>
      <w:divBdr>
        <w:top w:val="none" w:sz="0" w:space="0" w:color="auto"/>
        <w:left w:val="none" w:sz="0" w:space="0" w:color="auto"/>
        <w:bottom w:val="none" w:sz="0" w:space="0" w:color="auto"/>
        <w:right w:val="none" w:sz="0" w:space="0" w:color="auto"/>
      </w:divBdr>
    </w:div>
    <w:div w:id="2123110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dis.gov.au/applying-access-ndi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17EF7F-754D-4D6B-B69D-1F5B72548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1239</Words>
  <Characters>7065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Health supports provided by the NDIS</vt:lpstr>
    </vt:vector>
  </TitlesOfParts>
  <LinksUpToDate>false</LinksUpToDate>
  <CharactersWithSpaces>8288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supports provided by the NDIS</dc:title>
  <dc:subject/>
  <dc:creator/>
  <cp:keywords>NDIS supports</cp:keywords>
  <dc:description>Disability-related health supports funded through the NDIS</dc:description>
  <cp:lastModifiedBy/>
  <cp:revision>1</cp:revision>
  <dcterms:created xsi:type="dcterms:W3CDTF">2019-06-28T03:26:00Z</dcterms:created>
  <dcterms:modified xsi:type="dcterms:W3CDTF">2019-06-28T03:26:00Z</dcterms:modified>
</cp:coreProperties>
</file>