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21" w:rsidRDefault="008D710E" w:rsidP="008D710E">
      <w:pPr>
        <w:pStyle w:val="Heading1"/>
      </w:pPr>
      <w:r>
        <w:t xml:space="preserve">Disability </w:t>
      </w:r>
      <w:r w:rsidR="00572E40">
        <w:t>A</w:t>
      </w:r>
      <w:r>
        <w:t xml:space="preserve">dvocacy by the </w:t>
      </w:r>
      <w:r w:rsidR="00572E40">
        <w:t>N</w:t>
      </w:r>
      <w:r>
        <w:t>umbers</w:t>
      </w:r>
    </w:p>
    <w:p w:rsidR="008D710E" w:rsidRDefault="008D710E"/>
    <w:p w:rsidR="008D710E" w:rsidRDefault="008D710E">
      <w:r>
        <w:t xml:space="preserve">Statistics from the </w:t>
      </w:r>
      <w:r w:rsidRPr="008D710E">
        <w:t xml:space="preserve">2012-2013 </w:t>
      </w:r>
      <w:r w:rsidR="00A656D9" w:rsidRPr="008D710E">
        <w:t>Victorian Office for Disability Advocacy</w:t>
      </w:r>
      <w:r w:rsidR="00A656D9">
        <w:t xml:space="preserve"> </w:t>
      </w:r>
      <w:r w:rsidR="00A656D9" w:rsidRPr="008D710E">
        <w:t>Program</w:t>
      </w:r>
      <w:r w:rsidR="00A656D9">
        <w:t xml:space="preserve"> Quarterly Data Collection</w:t>
      </w:r>
    </w:p>
    <w:p w:rsidR="008D710E" w:rsidRDefault="008D710E"/>
    <w:p w:rsidR="008D710E" w:rsidRDefault="008D710E"/>
    <w:p w:rsidR="008D710E" w:rsidRDefault="008D710E">
      <w:r>
        <w:t>Prepared by the Disability Advocacy Resource Unit</w:t>
      </w:r>
    </w:p>
    <w:p w:rsidR="008D710E" w:rsidRDefault="008D710E">
      <w:r>
        <w:t>June 2014</w:t>
      </w:r>
    </w:p>
    <w:p w:rsidR="008D710E" w:rsidRDefault="008D710E"/>
    <w:p w:rsidR="008D710E" w:rsidRDefault="008D710E"/>
    <w:p w:rsidR="008D710E" w:rsidRDefault="008D710E"/>
    <w:p w:rsidR="008D710E" w:rsidRDefault="008D710E"/>
    <w:p w:rsidR="008D710E" w:rsidRDefault="008D710E"/>
    <w:p w:rsidR="008D710E" w:rsidRDefault="008D710E"/>
    <w:p w:rsidR="008D710E" w:rsidRDefault="008D710E">
      <w:r w:rsidRPr="008D710E">
        <w:rPr>
          <w:noProof/>
          <w:lang w:eastAsia="en-AU"/>
        </w:rPr>
        <w:drawing>
          <wp:inline distT="0" distB="0" distL="0" distR="0">
            <wp:extent cx="2947384" cy="1126066"/>
            <wp:effectExtent l="0" t="0" r="5715" b="0"/>
            <wp:docPr id="3" name="Picture 3" descr="http://www.daru.org.au/wp/wp-content/uploads/2012/01/D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ru.org.au/wp/wp-content/uploads/2012/01/DAR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7750" cy="1126206"/>
                    </a:xfrm>
                    <a:prstGeom prst="rect">
                      <a:avLst/>
                    </a:prstGeom>
                    <a:noFill/>
                    <a:ln>
                      <a:noFill/>
                    </a:ln>
                  </pic:spPr>
                </pic:pic>
              </a:graphicData>
            </a:graphic>
          </wp:inline>
        </w:drawing>
      </w:r>
    </w:p>
    <w:p w:rsidR="008D710E" w:rsidRDefault="008D710E" w:rsidP="008D710E">
      <w:r>
        <w:br w:type="page"/>
      </w:r>
    </w:p>
    <w:p w:rsidR="008D710E" w:rsidRDefault="008D710E" w:rsidP="008D710E">
      <w:pPr>
        <w:pStyle w:val="Heading1"/>
      </w:pPr>
      <w:r>
        <w:lastRenderedPageBreak/>
        <w:t>About DARU</w:t>
      </w:r>
    </w:p>
    <w:p w:rsidR="008D710E" w:rsidRDefault="008D710E" w:rsidP="008D710E">
      <w:r>
        <w:t>DARU is a state-wide service established to resource the disability advocacy sector in Victoria by:</w:t>
      </w:r>
    </w:p>
    <w:p w:rsidR="008D710E" w:rsidRDefault="008D710E" w:rsidP="008D710E">
      <w:pPr>
        <w:pStyle w:val="ListParagraph"/>
        <w:numPr>
          <w:ilvl w:val="0"/>
          <w:numId w:val="2"/>
        </w:numPr>
      </w:pPr>
      <w:r>
        <w:t>Providing resources to support the disability advocacy sector and disability advocates</w:t>
      </w:r>
    </w:p>
    <w:p w:rsidR="008D710E" w:rsidRDefault="008D710E" w:rsidP="008D710E">
      <w:pPr>
        <w:pStyle w:val="ListParagraph"/>
        <w:numPr>
          <w:ilvl w:val="0"/>
          <w:numId w:val="2"/>
        </w:numPr>
      </w:pPr>
      <w:r>
        <w:t>Disseminating relevant and up</w:t>
      </w:r>
      <w:r w:rsidR="00572E40">
        <w:t>-</w:t>
      </w:r>
      <w:r>
        <w:t>to</w:t>
      </w:r>
      <w:r w:rsidR="00572E40">
        <w:t>-</w:t>
      </w:r>
      <w:r>
        <w:t>date information</w:t>
      </w:r>
    </w:p>
    <w:p w:rsidR="008D710E" w:rsidRDefault="008D710E" w:rsidP="008D710E">
      <w:pPr>
        <w:pStyle w:val="ListParagraph"/>
        <w:numPr>
          <w:ilvl w:val="0"/>
          <w:numId w:val="2"/>
        </w:numPr>
      </w:pPr>
      <w:r>
        <w:t>Organising forums around the state so that there is a coordinated approach to issues of concern</w:t>
      </w:r>
    </w:p>
    <w:p w:rsidR="008D710E" w:rsidRDefault="008D710E" w:rsidP="008D710E">
      <w:pPr>
        <w:pStyle w:val="ListParagraph"/>
        <w:numPr>
          <w:ilvl w:val="0"/>
          <w:numId w:val="2"/>
        </w:numPr>
      </w:pPr>
      <w:r>
        <w:t>Providing professional development opportunities and undertaking capacity building projects on behalf of the sector.</w:t>
      </w:r>
    </w:p>
    <w:p w:rsidR="008D710E" w:rsidRDefault="008D710E" w:rsidP="008D710E">
      <w:r>
        <w:t>DARU is delivered in consortium by the Victorian Council of Social Service (VCOSS) and Disability Advocacy Victoria (DAV).</w:t>
      </w:r>
    </w:p>
    <w:p w:rsidR="008D710E" w:rsidRDefault="008D710E" w:rsidP="008D710E"/>
    <w:p w:rsidR="009D1E15" w:rsidRDefault="009D1E15" w:rsidP="009D1E15">
      <w:pPr>
        <w:pStyle w:val="Heading1"/>
      </w:pPr>
      <w:r>
        <w:t>Disclaimer</w:t>
      </w:r>
    </w:p>
    <w:p w:rsidR="009D1E15" w:rsidRDefault="009D1E15" w:rsidP="008D710E">
      <w:r>
        <w:t>Information provided by the Office for Disability to the Disability Advocacy Resource Unit has been de-identified to maintain the privacy and confidentiality of individuals with a disability.</w:t>
      </w:r>
    </w:p>
    <w:p w:rsidR="008D710E" w:rsidRDefault="009D1E15" w:rsidP="008D710E">
      <w:r>
        <w:t>DARU has only received the data presented here in aggregated form. The data has been aggregated and verified by the Office for Disability.</w:t>
      </w:r>
    </w:p>
    <w:p w:rsidR="00341164" w:rsidRDefault="00341164" w:rsidP="008D710E">
      <w:r>
        <w:t>Data were not provided to DARU for all fields in the Quarterly Data Collection process for the Advocacy Program. All primary data provided have been reported in this document.</w:t>
      </w:r>
    </w:p>
    <w:p w:rsidR="008D710E" w:rsidRDefault="008D710E" w:rsidP="008D710E"/>
    <w:p w:rsidR="008D710E" w:rsidRDefault="008D710E" w:rsidP="008D710E"/>
    <w:p w:rsidR="008D710E" w:rsidRDefault="008D710E" w:rsidP="008D710E"/>
    <w:p w:rsidR="008D710E" w:rsidRDefault="008D710E" w:rsidP="008D710E">
      <w:r>
        <w:t>© Copyright 2014 Disability Advocacy Resource Unit</w:t>
      </w:r>
    </w:p>
    <w:p w:rsidR="008D710E" w:rsidRDefault="008D710E" w:rsidP="008D710E">
      <w:r>
        <w:t>Disability Advocacy Resource Unit</w:t>
      </w:r>
    </w:p>
    <w:p w:rsidR="008D710E" w:rsidRDefault="008D710E" w:rsidP="008D710E">
      <w:r>
        <w:t>Level 8, 128 Exhibition Street</w:t>
      </w:r>
    </w:p>
    <w:p w:rsidR="008D710E" w:rsidRDefault="008D710E" w:rsidP="008D710E">
      <w:r>
        <w:t>Melbourne, Victoria, 3000</w:t>
      </w:r>
    </w:p>
    <w:p w:rsidR="008D710E" w:rsidRDefault="008D710E" w:rsidP="008D710E">
      <w:r>
        <w:t xml:space="preserve">+61 3 </w:t>
      </w:r>
      <w:r w:rsidRPr="008D710E">
        <w:t>9639 5807</w:t>
      </w:r>
    </w:p>
    <w:p w:rsidR="008D710E" w:rsidRDefault="008D710E" w:rsidP="008D710E">
      <w:r>
        <w:t xml:space="preserve">E: </w:t>
      </w:r>
      <w:r w:rsidRPr="008D710E">
        <w:t>admin@daru.org.au</w:t>
      </w:r>
    </w:p>
    <w:p w:rsidR="008D710E" w:rsidRDefault="008D710E" w:rsidP="008D710E"/>
    <w:p w:rsidR="009D1E15" w:rsidRDefault="009D1E15">
      <w:pPr>
        <w:rPr>
          <w:rFonts w:ascii="Century Gothic" w:eastAsiaTheme="majorEastAsia" w:hAnsi="Century Gothic" w:cstheme="majorBidi"/>
          <w:b/>
          <w:bCs/>
          <w:sz w:val="28"/>
          <w:szCs w:val="28"/>
        </w:rPr>
      </w:pPr>
      <w:r>
        <w:br w:type="page"/>
      </w:r>
    </w:p>
    <w:p w:rsidR="007D6F51" w:rsidRDefault="008D710E" w:rsidP="007D6F51">
      <w:pPr>
        <w:pStyle w:val="Heading1"/>
      </w:pPr>
      <w:r>
        <w:lastRenderedPageBreak/>
        <w:t xml:space="preserve">Executive </w:t>
      </w:r>
      <w:r w:rsidR="008D0FBD">
        <w:t>s</w:t>
      </w:r>
      <w:r>
        <w:t>ummary</w:t>
      </w:r>
    </w:p>
    <w:p w:rsidR="007D6F51" w:rsidRPr="007D6F51" w:rsidRDefault="007D6F51" w:rsidP="007D6F51"/>
    <w:p w:rsidR="005D2EF9" w:rsidRDefault="006B0E21" w:rsidP="004C6679">
      <w:r>
        <w:t>Disability a</w:t>
      </w:r>
      <w:r w:rsidR="008D710E">
        <w:t xml:space="preserve">dvocacy </w:t>
      </w:r>
      <w:r>
        <w:t>helps ensure</w:t>
      </w:r>
      <w:r w:rsidR="008D710E">
        <w:t xml:space="preserve"> the human and legal rights of people with disabilities are promoted and protected so that people with disabilities can full</w:t>
      </w:r>
      <w:r>
        <w:t>y participate in the community. The work of disability advocacy</w:t>
      </w:r>
      <w:r w:rsidR="00726E7B">
        <w:t xml:space="preserve"> organisations</w:t>
      </w:r>
      <w:r>
        <w:t xml:space="preserve"> is varied. It includes</w:t>
      </w:r>
      <w:r w:rsidR="004C6679">
        <w:t>:</w:t>
      </w:r>
    </w:p>
    <w:p w:rsidR="000B6508" w:rsidRDefault="006B0E21" w:rsidP="005D2EF9">
      <w:pPr>
        <w:pStyle w:val="ListParagraph"/>
        <w:numPr>
          <w:ilvl w:val="0"/>
          <w:numId w:val="12"/>
        </w:numPr>
      </w:pPr>
      <w:proofErr w:type="gramStart"/>
      <w:r w:rsidRPr="005D2EF9">
        <w:rPr>
          <w:i/>
        </w:rPr>
        <w:t>individual</w:t>
      </w:r>
      <w:proofErr w:type="gramEnd"/>
      <w:r w:rsidRPr="005D2EF9">
        <w:rPr>
          <w:i/>
        </w:rPr>
        <w:t xml:space="preserve"> advocacy</w:t>
      </w:r>
      <w:r>
        <w:t xml:space="preserve">, where an advocate works directly with a person with a disability to provide information, advice, or support to take action to uphold their rights. </w:t>
      </w:r>
    </w:p>
    <w:p w:rsidR="008D710E" w:rsidRDefault="006B0E21" w:rsidP="005D2EF9">
      <w:pPr>
        <w:pStyle w:val="ListParagraph"/>
        <w:numPr>
          <w:ilvl w:val="0"/>
          <w:numId w:val="12"/>
        </w:numPr>
      </w:pPr>
      <w:proofErr w:type="gramStart"/>
      <w:r w:rsidRPr="005D2EF9">
        <w:rPr>
          <w:i/>
        </w:rPr>
        <w:t>systemic</w:t>
      </w:r>
      <w:proofErr w:type="gramEnd"/>
      <w:r w:rsidRPr="005D2EF9">
        <w:rPr>
          <w:i/>
        </w:rPr>
        <w:t xml:space="preserve"> a</w:t>
      </w:r>
      <w:r w:rsidR="008D710E" w:rsidRPr="005D2EF9">
        <w:rPr>
          <w:i/>
        </w:rPr>
        <w:t>dvocacy</w:t>
      </w:r>
      <w:r w:rsidR="002F3A11" w:rsidRPr="005D2EF9">
        <w:rPr>
          <w:i/>
        </w:rPr>
        <w:t>,</w:t>
      </w:r>
      <w:r w:rsidR="008D710E">
        <w:t xml:space="preserve"> </w:t>
      </w:r>
      <w:r>
        <w:t>which address</w:t>
      </w:r>
      <w:r w:rsidR="002F3A11">
        <w:t>es</w:t>
      </w:r>
      <w:r>
        <w:t xml:space="preserve"> </w:t>
      </w:r>
      <w:r w:rsidR="008D710E">
        <w:t>discrimination affecting a number of people with disabilities</w:t>
      </w:r>
      <w:r w:rsidR="002F3A11">
        <w:t>,</w:t>
      </w:r>
      <w:r w:rsidR="008D710E">
        <w:t xml:space="preserve"> by advocating for change to legis</w:t>
      </w:r>
      <w:r>
        <w:t>lation, policies and practices.</w:t>
      </w:r>
    </w:p>
    <w:p w:rsidR="00A622AB" w:rsidRPr="00F26EF9" w:rsidRDefault="00A622AB" w:rsidP="00F26EF9">
      <w:pPr>
        <w:pStyle w:val="ListParagraph"/>
        <w:numPr>
          <w:ilvl w:val="0"/>
          <w:numId w:val="12"/>
        </w:numPr>
      </w:pPr>
      <w:proofErr w:type="gramStart"/>
      <w:r w:rsidRPr="00F26EF9">
        <w:rPr>
          <w:i/>
        </w:rPr>
        <w:t>self-advocacy</w:t>
      </w:r>
      <w:proofErr w:type="gramEnd"/>
      <w:r w:rsidR="00F26EF9">
        <w:rPr>
          <w:i/>
        </w:rPr>
        <w:t>,</w:t>
      </w:r>
      <w:r w:rsidRPr="00F26EF9">
        <w:rPr>
          <w:i/>
        </w:rPr>
        <w:t xml:space="preserve"> </w:t>
      </w:r>
      <w:r>
        <w:t>where people with a disability speak up and represent themselves</w:t>
      </w:r>
      <w:r w:rsidRPr="00F26EF9">
        <w:rPr>
          <w:i/>
        </w:rPr>
        <w:t xml:space="preserve">, </w:t>
      </w:r>
      <w:r w:rsidRPr="00F26EF9">
        <w:t>and organisations support people to do this.</w:t>
      </w:r>
    </w:p>
    <w:p w:rsidR="002F3A11" w:rsidRDefault="006B0E21" w:rsidP="008D710E">
      <w:r>
        <w:t>The work of disability advocacy organisations is no</w:t>
      </w:r>
      <w:r w:rsidR="00911C01">
        <w:t xml:space="preserve">t always well understood. This document seeks to provide information about disability advocacy using data provided by the Office for Disability. </w:t>
      </w:r>
    </w:p>
    <w:p w:rsidR="006B0E21" w:rsidRDefault="001B4015" w:rsidP="008D710E">
      <w:r>
        <w:t>The 22</w:t>
      </w:r>
      <w:r w:rsidR="00911C01">
        <w:t xml:space="preserve"> organisations funded by the </w:t>
      </w:r>
      <w:r w:rsidR="00556C26">
        <w:t>Victorian Government</w:t>
      </w:r>
      <w:r w:rsidR="00951436">
        <w:t xml:space="preserve"> through the Office for Disability Advocacy Program</w:t>
      </w:r>
      <w:r w:rsidR="00556C26">
        <w:t xml:space="preserve"> to provide</w:t>
      </w:r>
      <w:r w:rsidR="00911C01">
        <w:t xml:space="preserve"> disability advocacy services are required to report their activity through a Quarterly Data Collection (QDC) process. Aggregated and de-identified data from this process has been provided to the Disability Advocacy Resource Unit (DARU) to provide additional information to the sector.</w:t>
      </w:r>
    </w:p>
    <w:p w:rsidR="00401CB7" w:rsidRDefault="00401CB7" w:rsidP="008D710E">
      <w:r>
        <w:t>The data in this report only apply to clients recorded</w:t>
      </w:r>
      <w:r w:rsidR="00341164">
        <w:t xml:space="preserve"> as part of the </w:t>
      </w:r>
      <w:r w:rsidR="00951436">
        <w:t xml:space="preserve">Advocacy Program </w:t>
      </w:r>
      <w:r w:rsidR="00341164">
        <w:t>QDC</w:t>
      </w:r>
      <w:r>
        <w:t xml:space="preserve">. </w:t>
      </w:r>
      <w:r w:rsidR="00726E7B">
        <w:t>O</w:t>
      </w:r>
      <w:r>
        <w:t xml:space="preserve">rganisations </w:t>
      </w:r>
      <w:r w:rsidR="00726E7B">
        <w:t xml:space="preserve">providing the data </w:t>
      </w:r>
      <w:r>
        <w:t>may support additional clients us</w:t>
      </w:r>
      <w:r w:rsidR="00726E7B">
        <w:t>ing other funding, and there</w:t>
      </w:r>
      <w:r w:rsidR="00042AD9">
        <w:t xml:space="preserve"> are also</w:t>
      </w:r>
      <w:r>
        <w:t xml:space="preserve"> other disability advocacy organisations </w:t>
      </w:r>
      <w:r w:rsidR="00042AD9">
        <w:t>that provide similar services but</w:t>
      </w:r>
      <w:r>
        <w:t xml:space="preserve"> are not funded through this program. These additional clients and services are not </w:t>
      </w:r>
      <w:r w:rsidR="00726E7B">
        <w:t>covered by this data collection process, and are not included in this report.</w:t>
      </w:r>
      <w:r w:rsidR="00341164">
        <w:t xml:space="preserve"> </w:t>
      </w:r>
    </w:p>
    <w:p w:rsidR="0076676D" w:rsidRDefault="0076676D" w:rsidP="008D710E">
      <w:r>
        <w:t>The Office for Disability has provided the data for this report following a review of the QDC reporting process. The Office for Disability has advised that organisations requested the QDC information be reported back to the sector as part of this review.</w:t>
      </w:r>
    </w:p>
    <w:p w:rsidR="0014049F" w:rsidRDefault="003C5243" w:rsidP="0014049F">
      <w:r>
        <w:t>I</w:t>
      </w:r>
      <w:r w:rsidR="00401CB7">
        <w:t>n 2012-13</w:t>
      </w:r>
      <w:r>
        <w:t>,</w:t>
      </w:r>
      <w:r w:rsidRPr="003C5243">
        <w:t xml:space="preserve"> </w:t>
      </w:r>
      <w:r>
        <w:t>through the Advocacy Program QDC,</w:t>
      </w:r>
      <w:r w:rsidR="00401CB7">
        <w:t xml:space="preserve"> </w:t>
      </w:r>
      <w:r w:rsidR="0014049F">
        <w:t xml:space="preserve">disability advocacy organisations </w:t>
      </w:r>
      <w:r w:rsidR="007D6F51">
        <w:t>recorded providing</w:t>
      </w:r>
      <w:r w:rsidR="0014049F">
        <w:t xml:space="preserve"> services to: </w:t>
      </w:r>
    </w:p>
    <w:p w:rsidR="00911C01" w:rsidRDefault="00911C01" w:rsidP="00911C01">
      <w:pPr>
        <w:pStyle w:val="ListParagraph"/>
        <w:numPr>
          <w:ilvl w:val="0"/>
          <w:numId w:val="2"/>
        </w:numPr>
      </w:pPr>
      <w:r>
        <w:t>1</w:t>
      </w:r>
      <w:r w:rsidR="0014049F">
        <w:t>632 new clients</w:t>
      </w:r>
      <w:r w:rsidR="007D6F51">
        <w:t xml:space="preserve"> over the year</w:t>
      </w:r>
      <w:r w:rsidR="0014049F">
        <w:t>;</w:t>
      </w:r>
    </w:p>
    <w:p w:rsidR="00911C01" w:rsidRDefault="0014049F" w:rsidP="00911C01">
      <w:pPr>
        <w:pStyle w:val="ListParagraph"/>
        <w:numPr>
          <w:ilvl w:val="0"/>
          <w:numId w:val="2"/>
        </w:numPr>
      </w:pPr>
      <w:r>
        <w:t xml:space="preserve">an average of 756 clients per quarter, comprising </w:t>
      </w:r>
      <w:r w:rsidR="003C5243">
        <w:t xml:space="preserve">an average of </w:t>
      </w:r>
      <w:r>
        <w:t>408 new clients and 348 existing clients;</w:t>
      </w:r>
    </w:p>
    <w:p w:rsidR="0014049F" w:rsidRDefault="007D6F51" w:rsidP="00911C01">
      <w:pPr>
        <w:pStyle w:val="ListParagraph"/>
        <w:numPr>
          <w:ilvl w:val="0"/>
          <w:numId w:val="2"/>
        </w:numPr>
      </w:pPr>
      <w:r>
        <w:t>51 per cent male clients, 46 per cent female clients, and 3 per cent</w:t>
      </w:r>
      <w:r w:rsidR="0014049F">
        <w:t xml:space="preserve"> transgender clients, on average, of those clients whose gender was recorded;</w:t>
      </w:r>
    </w:p>
    <w:p w:rsidR="007D6F51" w:rsidRDefault="007D6F51" w:rsidP="00911C01">
      <w:pPr>
        <w:pStyle w:val="ListParagraph"/>
        <w:numPr>
          <w:ilvl w:val="0"/>
          <w:numId w:val="2"/>
        </w:numPr>
      </w:pPr>
      <w:r>
        <w:t xml:space="preserve">3 per cent </w:t>
      </w:r>
      <w:r w:rsidR="00401CB7">
        <w:t xml:space="preserve">of </w:t>
      </w:r>
      <w:r>
        <w:t>clients recorded as being Aboriginal, and 8 per cent of clients recorded as being from a culturally and linguistically diverse (CALD) background.</w:t>
      </w:r>
    </w:p>
    <w:p w:rsidR="00F26EF9" w:rsidRDefault="007D6F51" w:rsidP="007D6F51">
      <w:r>
        <w:t xml:space="preserve">The most common issues recorded were education issues and disability services issues, although the Office for Disability </w:t>
      </w:r>
      <w:r w:rsidR="00482845">
        <w:t>has advised</w:t>
      </w:r>
      <w:r>
        <w:t xml:space="preserve"> that </w:t>
      </w:r>
      <w:r w:rsidRPr="007D6F51">
        <w:t xml:space="preserve">higher numbers for disability services and education </w:t>
      </w:r>
      <w:r>
        <w:t xml:space="preserve">reflect </w:t>
      </w:r>
      <w:r w:rsidRPr="007D6F51">
        <w:t>the way one organisation interpret</w:t>
      </w:r>
      <w:r w:rsidR="00482845">
        <w:t>ed</w:t>
      </w:r>
      <w:r w:rsidRPr="007D6F51">
        <w:t xml:space="preserve"> this question in the QDC form</w:t>
      </w:r>
      <w:r>
        <w:t>.</w:t>
      </w:r>
    </w:p>
    <w:p w:rsidR="007D6F51" w:rsidRDefault="007D6F51" w:rsidP="007D6F51">
      <w:r>
        <w:lastRenderedPageBreak/>
        <w:t>This report also contains case studies provided by organisations to illustrate the nature and impact of disability advocacy services. The case studies have been de-identified, disclosing neither the client</w:t>
      </w:r>
      <w:r w:rsidR="003C5243">
        <w:t>s</w:t>
      </w:r>
      <w:r>
        <w:t xml:space="preserve"> nor the organisations.</w:t>
      </w:r>
    </w:p>
    <w:p w:rsidR="00774791" w:rsidRDefault="007D6F51" w:rsidP="00774791">
      <w:r>
        <w:t xml:space="preserve">This is the first time aggregated data provided by disability </w:t>
      </w:r>
      <w:r w:rsidR="009D1E15">
        <w:t>advocacy organisations have been reported. It provide</w:t>
      </w:r>
      <w:r w:rsidR="0075134B">
        <w:t>s</w:t>
      </w:r>
      <w:r w:rsidR="009D1E15">
        <w:t xml:space="preserve"> a valuable opportunity for stakeholders to understand the nature of the data and the data collection process. Information from this report may also be useful for organisations in planning their service delivery and advocacy.</w:t>
      </w:r>
    </w:p>
    <w:p w:rsidR="00774791" w:rsidRDefault="00774791" w:rsidP="00774791">
      <w:r>
        <w:t xml:space="preserve">This report also identifies the connections between the work of disability advocacy organisations and relevant parts of: </w:t>
      </w:r>
    </w:p>
    <w:p w:rsidR="00774791" w:rsidRDefault="00774791" w:rsidP="00774791">
      <w:pPr>
        <w:numPr>
          <w:ilvl w:val="0"/>
          <w:numId w:val="15"/>
        </w:numPr>
      </w:pPr>
      <w:r>
        <w:t>The United Nations Convention on the Rights of Persons with Disabilities</w:t>
      </w:r>
    </w:p>
    <w:p w:rsidR="00774791" w:rsidRDefault="00774791" w:rsidP="00774791">
      <w:pPr>
        <w:numPr>
          <w:ilvl w:val="0"/>
          <w:numId w:val="15"/>
        </w:numPr>
      </w:pPr>
      <w:r>
        <w:t>The Victorian Charter of Human Rights and Responsibilities Act 2006</w:t>
      </w:r>
      <w:r w:rsidRPr="00774791">
        <w:t xml:space="preserve"> </w:t>
      </w:r>
    </w:p>
    <w:p w:rsidR="00774791" w:rsidRDefault="00774791" w:rsidP="00774791">
      <w:pPr>
        <w:numPr>
          <w:ilvl w:val="0"/>
          <w:numId w:val="15"/>
        </w:numPr>
      </w:pPr>
      <w:r>
        <w:t>The Victorian State Disability Plan 2013-2016</w:t>
      </w:r>
    </w:p>
    <w:p w:rsidR="009D1E15" w:rsidRDefault="009D1E15" w:rsidP="009D1E15"/>
    <w:p w:rsidR="00774791" w:rsidRDefault="00774791">
      <w:pPr>
        <w:rPr>
          <w:rFonts w:ascii="Century Gothic" w:eastAsiaTheme="majorEastAsia" w:hAnsi="Century Gothic" w:cstheme="majorBidi"/>
          <w:b/>
          <w:bCs/>
          <w:sz w:val="28"/>
          <w:szCs w:val="28"/>
        </w:rPr>
      </w:pPr>
      <w:r>
        <w:br w:type="page"/>
      </w:r>
    </w:p>
    <w:p w:rsidR="00911C01" w:rsidRDefault="00734D29" w:rsidP="00081885">
      <w:pPr>
        <w:pStyle w:val="Heading1"/>
        <w:numPr>
          <w:ilvl w:val="0"/>
          <w:numId w:val="4"/>
        </w:numPr>
      </w:pPr>
      <w:r>
        <w:lastRenderedPageBreak/>
        <w:t>Clients</w:t>
      </w:r>
      <w:r w:rsidR="00A656D9">
        <w:t xml:space="preserve"> receiving disability advocacy services</w:t>
      </w:r>
    </w:p>
    <w:p w:rsidR="008C395B" w:rsidRDefault="00A656D9" w:rsidP="008D710E">
      <w:r>
        <w:t xml:space="preserve">On average, disability advocacy organisations recorded </w:t>
      </w:r>
      <w:r w:rsidR="0075134B">
        <w:t xml:space="preserve">providing </w:t>
      </w:r>
      <w:r>
        <w:t>service</w:t>
      </w:r>
      <w:r w:rsidR="0075134B">
        <w:t>s</w:t>
      </w:r>
      <w:r>
        <w:t xml:space="preserve"> to an average of 756 clients per quarter</w:t>
      </w:r>
      <w:r w:rsidR="008C395B">
        <w:t xml:space="preserve">. This comprised an average of: </w:t>
      </w:r>
    </w:p>
    <w:p w:rsidR="008C395B" w:rsidRDefault="008C395B" w:rsidP="00D55D8F">
      <w:pPr>
        <w:pStyle w:val="ListParagraph"/>
        <w:numPr>
          <w:ilvl w:val="0"/>
          <w:numId w:val="10"/>
        </w:numPr>
      </w:pPr>
      <w:r>
        <w:t>408 (54 per cent)</w:t>
      </w:r>
      <w:r w:rsidR="00726E7B">
        <w:t xml:space="preserve"> new clients</w:t>
      </w:r>
      <w:r>
        <w:t>;</w:t>
      </w:r>
      <w:r w:rsidR="00726E7B">
        <w:t xml:space="preserve"> and </w:t>
      </w:r>
    </w:p>
    <w:p w:rsidR="008C395B" w:rsidRDefault="008C395B" w:rsidP="00D55D8F">
      <w:pPr>
        <w:pStyle w:val="ListParagraph"/>
        <w:numPr>
          <w:ilvl w:val="0"/>
          <w:numId w:val="10"/>
        </w:numPr>
      </w:pPr>
      <w:r>
        <w:t>348 (</w:t>
      </w:r>
      <w:r w:rsidR="00726E7B">
        <w:t>46 per cent</w:t>
      </w:r>
      <w:r>
        <w:t>)</w:t>
      </w:r>
      <w:r w:rsidR="00A656D9">
        <w:t xml:space="preserve"> existing clients. </w:t>
      </w:r>
    </w:p>
    <w:p w:rsidR="008C395B" w:rsidRDefault="008C395B" w:rsidP="00D55D8F">
      <w:pPr>
        <w:pStyle w:val="ListParagraph"/>
      </w:pPr>
    </w:p>
    <w:p w:rsidR="008C395B" w:rsidRDefault="00A656D9" w:rsidP="008C395B">
      <w:r>
        <w:t>Over the 2012-13</w:t>
      </w:r>
      <w:r w:rsidR="008C395B">
        <w:t xml:space="preserve"> financial </w:t>
      </w:r>
      <w:proofErr w:type="gramStart"/>
      <w:r w:rsidR="008C395B">
        <w:t>year</w:t>
      </w:r>
      <w:proofErr w:type="gramEnd"/>
      <w:r>
        <w:t xml:space="preserve">, a total of 1632 new clients were </w:t>
      </w:r>
      <w:r w:rsidR="0075134B">
        <w:t xml:space="preserve">recorded as being </w:t>
      </w:r>
      <w:r>
        <w:t>provided with services.</w:t>
      </w:r>
      <w:r w:rsidR="00743C92">
        <w:t xml:space="preserve"> </w:t>
      </w:r>
      <w:r w:rsidR="008C395B">
        <w:t>The number of e</w:t>
      </w:r>
      <w:r w:rsidR="00743C92" w:rsidRPr="00D55D8F">
        <w:t xml:space="preserve">xisting and </w:t>
      </w:r>
      <w:r w:rsidR="008C395B">
        <w:t>new</w:t>
      </w:r>
      <w:r w:rsidR="00743C92" w:rsidRPr="00D55D8F">
        <w:t xml:space="preserve"> clients cannot be </w:t>
      </w:r>
      <w:r w:rsidR="008C395B">
        <w:t xml:space="preserve">added to give a </w:t>
      </w:r>
      <w:r w:rsidR="00743C92" w:rsidRPr="00D55D8F">
        <w:t>total number of clients for the year, as in some cases they are continuing clients from previous quarters.</w:t>
      </w:r>
      <w:r w:rsidR="008C395B">
        <w:t xml:space="preserve"> </w:t>
      </w:r>
    </w:p>
    <w:p w:rsidR="00734D29" w:rsidRDefault="00A656D9" w:rsidP="008D710E">
      <w:r>
        <w:t>Organ</w:t>
      </w:r>
      <w:r w:rsidR="00926E98">
        <w:t>isations reported</w:t>
      </w:r>
      <w:r>
        <w:t xml:space="preserve"> </w:t>
      </w:r>
      <w:r w:rsidR="002F6AEA">
        <w:t>the greatest</w:t>
      </w:r>
      <w:r w:rsidR="00926E98">
        <w:t xml:space="preserve"> number of clients</w:t>
      </w:r>
      <w:r w:rsidR="002F6AEA">
        <w:t xml:space="preserve"> in the first quarter</w:t>
      </w:r>
      <w:r w:rsidR="00926E98">
        <w:t xml:space="preserve"> </w:t>
      </w:r>
      <w:r>
        <w:t>(</w:t>
      </w:r>
      <w:r w:rsidR="00926E98">
        <w:t xml:space="preserve">881 clients during July-September 2012), </w:t>
      </w:r>
      <w:r w:rsidR="002F6AEA">
        <w:t>and</w:t>
      </w:r>
      <w:r w:rsidR="00926E98">
        <w:t xml:space="preserve"> the </w:t>
      </w:r>
      <w:r w:rsidR="002F6AEA">
        <w:t xml:space="preserve">least </w:t>
      </w:r>
      <w:r w:rsidR="00926E98">
        <w:t>number of clients</w:t>
      </w:r>
      <w:r w:rsidR="002F6AEA">
        <w:t xml:space="preserve"> in the third quarter</w:t>
      </w:r>
      <w:r w:rsidR="00926E98">
        <w:t xml:space="preserve"> (599 clients during January to March 2013</w:t>
      </w:r>
      <w:r w:rsidR="002F6AEA">
        <w:t>)</w:t>
      </w:r>
      <w:r w:rsidR="00926E98">
        <w:t>.</w:t>
      </w:r>
    </w:p>
    <w:p w:rsidR="00926E98" w:rsidRDefault="00926E98" w:rsidP="00926E98">
      <w:pPr>
        <w:pStyle w:val="Heading3"/>
      </w:pPr>
      <w:r>
        <w:t>Table 1: Clients receiving disability advocacy services</w:t>
      </w:r>
    </w:p>
    <w:tbl>
      <w:tblPr>
        <w:tblStyle w:val="TableGrid"/>
        <w:tblW w:w="0" w:type="auto"/>
        <w:tblLook w:val="04A0" w:firstRow="1" w:lastRow="0" w:firstColumn="1" w:lastColumn="0" w:noHBand="0" w:noVBand="1"/>
      </w:tblPr>
      <w:tblGrid>
        <w:gridCol w:w="1526"/>
        <w:gridCol w:w="2693"/>
        <w:gridCol w:w="1559"/>
        <w:gridCol w:w="1843"/>
        <w:gridCol w:w="1621"/>
      </w:tblGrid>
      <w:tr w:rsidR="00926E98" w:rsidRPr="00926E98" w:rsidTr="00926E98">
        <w:tc>
          <w:tcPr>
            <w:tcW w:w="1526" w:type="dxa"/>
          </w:tcPr>
          <w:p w:rsidR="00926E98" w:rsidRPr="00926E98" w:rsidRDefault="00926E98" w:rsidP="008D710E">
            <w:pPr>
              <w:rPr>
                <w:b/>
              </w:rPr>
            </w:pPr>
            <w:r w:rsidRPr="00926E98">
              <w:rPr>
                <w:b/>
              </w:rPr>
              <w:t>Quarter</w:t>
            </w:r>
          </w:p>
        </w:tc>
        <w:tc>
          <w:tcPr>
            <w:tcW w:w="2693" w:type="dxa"/>
          </w:tcPr>
          <w:p w:rsidR="00926E98" w:rsidRPr="00926E98" w:rsidRDefault="00926E98" w:rsidP="008D710E">
            <w:pPr>
              <w:rPr>
                <w:b/>
              </w:rPr>
            </w:pPr>
            <w:r w:rsidRPr="00926E98">
              <w:rPr>
                <w:b/>
              </w:rPr>
              <w:t>Period</w:t>
            </w:r>
          </w:p>
        </w:tc>
        <w:tc>
          <w:tcPr>
            <w:tcW w:w="1559" w:type="dxa"/>
          </w:tcPr>
          <w:p w:rsidR="00926E98" w:rsidRPr="00926E98" w:rsidRDefault="00926E98" w:rsidP="008D710E">
            <w:pPr>
              <w:rPr>
                <w:b/>
              </w:rPr>
            </w:pPr>
            <w:r w:rsidRPr="00926E98">
              <w:rPr>
                <w:b/>
              </w:rPr>
              <w:t>New clients</w:t>
            </w:r>
          </w:p>
        </w:tc>
        <w:tc>
          <w:tcPr>
            <w:tcW w:w="1843" w:type="dxa"/>
          </w:tcPr>
          <w:p w:rsidR="00926E98" w:rsidRPr="00926E98" w:rsidRDefault="00926E98" w:rsidP="008D710E">
            <w:pPr>
              <w:rPr>
                <w:b/>
              </w:rPr>
            </w:pPr>
            <w:r w:rsidRPr="00926E98">
              <w:rPr>
                <w:b/>
              </w:rPr>
              <w:t>Existing clients</w:t>
            </w:r>
          </w:p>
        </w:tc>
        <w:tc>
          <w:tcPr>
            <w:tcW w:w="1621" w:type="dxa"/>
          </w:tcPr>
          <w:p w:rsidR="00926E98" w:rsidRPr="00926E98" w:rsidRDefault="00926E98" w:rsidP="008D710E">
            <w:pPr>
              <w:rPr>
                <w:b/>
              </w:rPr>
            </w:pPr>
            <w:r w:rsidRPr="00926E98">
              <w:rPr>
                <w:b/>
              </w:rPr>
              <w:t>Total clients</w:t>
            </w:r>
          </w:p>
        </w:tc>
      </w:tr>
      <w:tr w:rsidR="003C7279" w:rsidTr="00926E98">
        <w:tc>
          <w:tcPr>
            <w:tcW w:w="1526" w:type="dxa"/>
          </w:tcPr>
          <w:p w:rsidR="003C7279" w:rsidRDefault="003C7279" w:rsidP="008D710E">
            <w:r>
              <w:t>1</w:t>
            </w:r>
          </w:p>
        </w:tc>
        <w:tc>
          <w:tcPr>
            <w:tcW w:w="2693" w:type="dxa"/>
          </w:tcPr>
          <w:p w:rsidR="003C7279" w:rsidRDefault="003C7279" w:rsidP="00341164">
            <w:r>
              <w:t>Jul-Sep 2012</w:t>
            </w:r>
          </w:p>
        </w:tc>
        <w:tc>
          <w:tcPr>
            <w:tcW w:w="1559" w:type="dxa"/>
          </w:tcPr>
          <w:p w:rsidR="003C7279" w:rsidRDefault="003C7279" w:rsidP="008D710E">
            <w:r>
              <w:t>458</w:t>
            </w:r>
          </w:p>
        </w:tc>
        <w:tc>
          <w:tcPr>
            <w:tcW w:w="1843" w:type="dxa"/>
          </w:tcPr>
          <w:p w:rsidR="003C7279" w:rsidRDefault="003C7279" w:rsidP="008D710E">
            <w:r>
              <w:t>423</w:t>
            </w:r>
          </w:p>
        </w:tc>
        <w:tc>
          <w:tcPr>
            <w:tcW w:w="1621" w:type="dxa"/>
          </w:tcPr>
          <w:p w:rsidR="003C7279" w:rsidRDefault="003C7279" w:rsidP="008D710E">
            <w:r>
              <w:t>881</w:t>
            </w:r>
          </w:p>
        </w:tc>
      </w:tr>
      <w:tr w:rsidR="003C7279" w:rsidTr="00926E98">
        <w:tc>
          <w:tcPr>
            <w:tcW w:w="1526" w:type="dxa"/>
          </w:tcPr>
          <w:p w:rsidR="003C7279" w:rsidRDefault="003C7279" w:rsidP="008D710E">
            <w:r>
              <w:t>2</w:t>
            </w:r>
          </w:p>
        </w:tc>
        <w:tc>
          <w:tcPr>
            <w:tcW w:w="2693" w:type="dxa"/>
          </w:tcPr>
          <w:p w:rsidR="003C7279" w:rsidRDefault="003C7279" w:rsidP="00341164">
            <w:r>
              <w:t>Oct-Dec 2012</w:t>
            </w:r>
          </w:p>
        </w:tc>
        <w:tc>
          <w:tcPr>
            <w:tcW w:w="1559" w:type="dxa"/>
          </w:tcPr>
          <w:p w:rsidR="003C7279" w:rsidRDefault="003C7279" w:rsidP="008D710E">
            <w:r>
              <w:t>373</w:t>
            </w:r>
          </w:p>
        </w:tc>
        <w:tc>
          <w:tcPr>
            <w:tcW w:w="1843" w:type="dxa"/>
          </w:tcPr>
          <w:p w:rsidR="003C7279" w:rsidRDefault="003C7279" w:rsidP="008D710E">
            <w:r>
              <w:t>336</w:t>
            </w:r>
          </w:p>
        </w:tc>
        <w:tc>
          <w:tcPr>
            <w:tcW w:w="1621" w:type="dxa"/>
          </w:tcPr>
          <w:p w:rsidR="003C7279" w:rsidRDefault="003C7279" w:rsidP="008D710E">
            <w:r>
              <w:t>709</w:t>
            </w:r>
          </w:p>
        </w:tc>
      </w:tr>
      <w:tr w:rsidR="003C7279" w:rsidTr="00926E98">
        <w:tc>
          <w:tcPr>
            <w:tcW w:w="1526" w:type="dxa"/>
            <w:tcBorders>
              <w:bottom w:val="single" w:sz="4" w:space="0" w:color="auto"/>
            </w:tcBorders>
          </w:tcPr>
          <w:p w:rsidR="003C7279" w:rsidRDefault="003C7279" w:rsidP="008D710E">
            <w:r>
              <w:t>3</w:t>
            </w:r>
          </w:p>
        </w:tc>
        <w:tc>
          <w:tcPr>
            <w:tcW w:w="2693" w:type="dxa"/>
            <w:tcBorders>
              <w:bottom w:val="single" w:sz="4" w:space="0" w:color="auto"/>
            </w:tcBorders>
          </w:tcPr>
          <w:p w:rsidR="003C7279" w:rsidRDefault="003C7279" w:rsidP="00341164">
            <w:r>
              <w:t>Jan-Mar 2013</w:t>
            </w:r>
          </w:p>
        </w:tc>
        <w:tc>
          <w:tcPr>
            <w:tcW w:w="1559" w:type="dxa"/>
            <w:tcBorders>
              <w:bottom w:val="single" w:sz="4" w:space="0" w:color="auto"/>
            </w:tcBorders>
          </w:tcPr>
          <w:p w:rsidR="003C7279" w:rsidRDefault="003C7279" w:rsidP="008D710E">
            <w:r>
              <w:t>336</w:t>
            </w:r>
          </w:p>
        </w:tc>
        <w:tc>
          <w:tcPr>
            <w:tcW w:w="1843" w:type="dxa"/>
            <w:tcBorders>
              <w:bottom w:val="single" w:sz="4" w:space="0" w:color="auto"/>
            </w:tcBorders>
          </w:tcPr>
          <w:p w:rsidR="003C7279" w:rsidRDefault="003C7279" w:rsidP="008D710E">
            <w:r>
              <w:t>263</w:t>
            </w:r>
          </w:p>
        </w:tc>
        <w:tc>
          <w:tcPr>
            <w:tcW w:w="1621" w:type="dxa"/>
            <w:tcBorders>
              <w:bottom w:val="single" w:sz="4" w:space="0" w:color="auto"/>
            </w:tcBorders>
          </w:tcPr>
          <w:p w:rsidR="003C7279" w:rsidRDefault="003C7279" w:rsidP="008D710E">
            <w:r>
              <w:t>599</w:t>
            </w:r>
          </w:p>
        </w:tc>
      </w:tr>
      <w:tr w:rsidR="003C7279" w:rsidTr="00926E98">
        <w:tc>
          <w:tcPr>
            <w:tcW w:w="1526" w:type="dxa"/>
            <w:tcBorders>
              <w:bottom w:val="double" w:sz="4" w:space="0" w:color="auto"/>
            </w:tcBorders>
          </w:tcPr>
          <w:p w:rsidR="003C7279" w:rsidRDefault="003C7279" w:rsidP="008D710E">
            <w:r>
              <w:t>4</w:t>
            </w:r>
          </w:p>
        </w:tc>
        <w:tc>
          <w:tcPr>
            <w:tcW w:w="2693" w:type="dxa"/>
            <w:tcBorders>
              <w:bottom w:val="double" w:sz="4" w:space="0" w:color="auto"/>
            </w:tcBorders>
          </w:tcPr>
          <w:p w:rsidR="003C7279" w:rsidRDefault="003C7279" w:rsidP="00341164">
            <w:r>
              <w:t>Apr-Jun 2013</w:t>
            </w:r>
          </w:p>
        </w:tc>
        <w:tc>
          <w:tcPr>
            <w:tcW w:w="1559" w:type="dxa"/>
            <w:tcBorders>
              <w:bottom w:val="double" w:sz="4" w:space="0" w:color="auto"/>
            </w:tcBorders>
          </w:tcPr>
          <w:p w:rsidR="003C7279" w:rsidRDefault="003C7279" w:rsidP="008D710E">
            <w:r>
              <w:t>465</w:t>
            </w:r>
          </w:p>
        </w:tc>
        <w:tc>
          <w:tcPr>
            <w:tcW w:w="1843" w:type="dxa"/>
            <w:tcBorders>
              <w:bottom w:val="double" w:sz="4" w:space="0" w:color="auto"/>
            </w:tcBorders>
          </w:tcPr>
          <w:p w:rsidR="003C7279" w:rsidRDefault="003C7279" w:rsidP="008D710E">
            <w:r>
              <w:t>370</w:t>
            </w:r>
          </w:p>
        </w:tc>
        <w:tc>
          <w:tcPr>
            <w:tcW w:w="1621" w:type="dxa"/>
            <w:tcBorders>
              <w:bottom w:val="double" w:sz="4" w:space="0" w:color="auto"/>
            </w:tcBorders>
          </w:tcPr>
          <w:p w:rsidR="003C7279" w:rsidRDefault="003C7279" w:rsidP="008D710E">
            <w:r>
              <w:t>835</w:t>
            </w:r>
          </w:p>
        </w:tc>
      </w:tr>
      <w:tr w:rsidR="00926E98" w:rsidTr="00926E98">
        <w:tc>
          <w:tcPr>
            <w:tcW w:w="1526" w:type="dxa"/>
            <w:tcBorders>
              <w:top w:val="double" w:sz="4" w:space="0" w:color="auto"/>
            </w:tcBorders>
          </w:tcPr>
          <w:p w:rsidR="00926E98" w:rsidRDefault="00926E98" w:rsidP="008D710E">
            <w:r>
              <w:t>Average per quarter</w:t>
            </w:r>
          </w:p>
        </w:tc>
        <w:tc>
          <w:tcPr>
            <w:tcW w:w="2693" w:type="dxa"/>
            <w:tcBorders>
              <w:top w:val="double" w:sz="4" w:space="0" w:color="auto"/>
            </w:tcBorders>
          </w:tcPr>
          <w:p w:rsidR="00926E98" w:rsidRDefault="00926E98" w:rsidP="008D710E"/>
        </w:tc>
        <w:tc>
          <w:tcPr>
            <w:tcW w:w="1559" w:type="dxa"/>
            <w:tcBorders>
              <w:top w:val="double" w:sz="4" w:space="0" w:color="auto"/>
            </w:tcBorders>
          </w:tcPr>
          <w:p w:rsidR="00926E98" w:rsidRDefault="00926E98" w:rsidP="008D710E"/>
          <w:p w:rsidR="00926E98" w:rsidRDefault="00926E98" w:rsidP="008D710E">
            <w:r>
              <w:t>408 (54%)</w:t>
            </w:r>
          </w:p>
        </w:tc>
        <w:tc>
          <w:tcPr>
            <w:tcW w:w="1843" w:type="dxa"/>
            <w:tcBorders>
              <w:top w:val="double" w:sz="4" w:space="0" w:color="auto"/>
            </w:tcBorders>
          </w:tcPr>
          <w:p w:rsidR="00926E98" w:rsidRDefault="00926E98" w:rsidP="008D710E"/>
          <w:p w:rsidR="00926E98" w:rsidRDefault="00926E98" w:rsidP="008D710E">
            <w:r>
              <w:t>348 (46%)</w:t>
            </w:r>
          </w:p>
        </w:tc>
        <w:tc>
          <w:tcPr>
            <w:tcW w:w="1621" w:type="dxa"/>
            <w:tcBorders>
              <w:top w:val="double" w:sz="4" w:space="0" w:color="auto"/>
            </w:tcBorders>
          </w:tcPr>
          <w:p w:rsidR="00926E98" w:rsidRDefault="00926E98" w:rsidP="008D710E"/>
          <w:p w:rsidR="00926E98" w:rsidRDefault="00926E98" w:rsidP="008D710E">
            <w:r>
              <w:t>756 (100%)</w:t>
            </w:r>
          </w:p>
        </w:tc>
      </w:tr>
    </w:tbl>
    <w:p w:rsidR="00734D29" w:rsidRDefault="00926E98" w:rsidP="00D55D8F">
      <w:r w:rsidRPr="00734D29">
        <w:rPr>
          <w:sz w:val="18"/>
          <w:szCs w:val="18"/>
        </w:rPr>
        <w:t xml:space="preserve">Note: The total number of new clients for the year 2012-13 was 1632. Existing and </w:t>
      </w:r>
      <w:r w:rsidR="008C395B">
        <w:rPr>
          <w:sz w:val="18"/>
          <w:szCs w:val="18"/>
        </w:rPr>
        <w:t>new</w:t>
      </w:r>
      <w:r w:rsidR="008C395B" w:rsidRPr="00734D29">
        <w:rPr>
          <w:sz w:val="18"/>
          <w:szCs w:val="18"/>
        </w:rPr>
        <w:t xml:space="preserve"> </w:t>
      </w:r>
      <w:r w:rsidRPr="00734D29">
        <w:rPr>
          <w:sz w:val="18"/>
          <w:szCs w:val="18"/>
        </w:rPr>
        <w:t>clients cannot be summated</w:t>
      </w:r>
      <w:r w:rsidR="008426AA">
        <w:rPr>
          <w:sz w:val="18"/>
          <w:szCs w:val="18"/>
        </w:rPr>
        <w:t xml:space="preserve"> for a total number of clients for the year,</w:t>
      </w:r>
      <w:r w:rsidRPr="00734D29">
        <w:rPr>
          <w:sz w:val="18"/>
          <w:szCs w:val="18"/>
        </w:rPr>
        <w:t xml:space="preserve"> as in some cases they are continuing clients from previous quarters.</w:t>
      </w:r>
    </w:p>
    <w:p w:rsidR="008C395B" w:rsidRDefault="008C395B" w:rsidP="00734D29">
      <w:pPr>
        <w:pStyle w:val="Heading3"/>
      </w:pPr>
    </w:p>
    <w:p w:rsidR="00734D29" w:rsidRPr="00734D29" w:rsidRDefault="00734D29" w:rsidP="00734D29">
      <w:pPr>
        <w:pStyle w:val="Heading3"/>
      </w:pPr>
      <w:r w:rsidRPr="00734D29">
        <w:t>Figure 1: Clients receiving disability advocacy services</w:t>
      </w:r>
    </w:p>
    <w:p w:rsidR="00734D29" w:rsidRDefault="00734D29" w:rsidP="008D710E">
      <w:r>
        <w:rPr>
          <w:noProof/>
          <w:lang w:eastAsia="en-AU"/>
        </w:rPr>
        <w:drawing>
          <wp:inline distT="0" distB="0" distL="0" distR="0" wp14:anchorId="7FCF8E41" wp14:editId="0384DA42">
            <wp:extent cx="5116530" cy="2815119"/>
            <wp:effectExtent l="0" t="0" r="27305"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34D29" w:rsidRDefault="00734D29">
      <w:r>
        <w:br w:type="page"/>
      </w:r>
    </w:p>
    <w:p w:rsidR="00734D29" w:rsidRDefault="00734D29" w:rsidP="00081885">
      <w:pPr>
        <w:pStyle w:val="Heading1"/>
        <w:numPr>
          <w:ilvl w:val="0"/>
          <w:numId w:val="4"/>
        </w:numPr>
      </w:pPr>
      <w:r>
        <w:lastRenderedPageBreak/>
        <w:t>Client characteristics</w:t>
      </w:r>
    </w:p>
    <w:p w:rsidR="00401CB7" w:rsidRDefault="00081885" w:rsidP="00DF01E8">
      <w:pPr>
        <w:pStyle w:val="Heading2"/>
      </w:pPr>
      <w:r>
        <w:t xml:space="preserve">2.1 </w:t>
      </w:r>
      <w:r w:rsidR="00401CB7">
        <w:t>Gender</w:t>
      </w:r>
    </w:p>
    <w:p w:rsidR="00DF01E8" w:rsidRDefault="00401CB7" w:rsidP="00DF01E8">
      <w:r>
        <w:t xml:space="preserve">Of those clients whose gender was reported, </w:t>
      </w:r>
      <w:r w:rsidR="00DF01E8">
        <w:t xml:space="preserve">on average </w:t>
      </w:r>
      <w:r w:rsidR="008426AA">
        <w:t>for each quarter</w:t>
      </w:r>
      <w:r w:rsidR="00DF01E8">
        <w:t>:</w:t>
      </w:r>
    </w:p>
    <w:p w:rsidR="00DF01E8" w:rsidRDefault="00DF01E8" w:rsidP="00DF01E8">
      <w:pPr>
        <w:pStyle w:val="ListParagraph"/>
        <w:numPr>
          <w:ilvl w:val="0"/>
          <w:numId w:val="2"/>
        </w:numPr>
      </w:pPr>
      <w:r>
        <w:t xml:space="preserve">51 per cent </w:t>
      </w:r>
      <w:r w:rsidR="00743C92">
        <w:t xml:space="preserve">(197) </w:t>
      </w:r>
      <w:r>
        <w:t>were male clients</w:t>
      </w:r>
      <w:r w:rsidR="008426AA">
        <w:t>;</w:t>
      </w:r>
    </w:p>
    <w:p w:rsidR="00DF01E8" w:rsidRDefault="00401CB7" w:rsidP="00DF01E8">
      <w:pPr>
        <w:pStyle w:val="ListParagraph"/>
        <w:numPr>
          <w:ilvl w:val="0"/>
          <w:numId w:val="2"/>
        </w:numPr>
      </w:pPr>
      <w:r>
        <w:t xml:space="preserve">46 per cent </w:t>
      </w:r>
      <w:r w:rsidR="00743C92">
        <w:t xml:space="preserve">(179) </w:t>
      </w:r>
      <w:r>
        <w:t>were female clients</w:t>
      </w:r>
      <w:r w:rsidR="008426AA">
        <w:t>;</w:t>
      </w:r>
      <w:r>
        <w:t xml:space="preserve"> and </w:t>
      </w:r>
    </w:p>
    <w:p w:rsidR="00401CB7" w:rsidRDefault="00401CB7" w:rsidP="00DF01E8">
      <w:pPr>
        <w:pStyle w:val="ListParagraph"/>
        <w:numPr>
          <w:ilvl w:val="0"/>
          <w:numId w:val="2"/>
        </w:numPr>
      </w:pPr>
      <w:r>
        <w:t>3 pe</w:t>
      </w:r>
      <w:r w:rsidR="00DF01E8">
        <w:t xml:space="preserve">r cent </w:t>
      </w:r>
      <w:r w:rsidR="00743C92">
        <w:t xml:space="preserve">(12) </w:t>
      </w:r>
      <w:r w:rsidR="00DF01E8">
        <w:t>were transgender clients</w:t>
      </w:r>
      <w:r>
        <w:t>.</w:t>
      </w:r>
    </w:p>
    <w:p w:rsidR="00401CB7" w:rsidRDefault="00401CB7" w:rsidP="00401CB7">
      <w:r>
        <w:t>On aver</w:t>
      </w:r>
      <w:r w:rsidR="00FE6F6D">
        <w:t xml:space="preserve">age over </w:t>
      </w:r>
      <w:r w:rsidR="008426AA">
        <w:t xml:space="preserve">each </w:t>
      </w:r>
      <w:r w:rsidR="00FE6F6D">
        <w:t>quarter, the gender of 388 clients was reported, compared with an average total of 756 clien</w:t>
      </w:r>
      <w:r w:rsidR="00754968">
        <w:t xml:space="preserve">ts per quarter. This means </w:t>
      </w:r>
      <w:r w:rsidR="00FE6F6D">
        <w:t>no gender was recorded for an average of 368 clients (49%) per quarter.</w:t>
      </w:r>
    </w:p>
    <w:p w:rsidR="00AE7CD2" w:rsidRPr="00AE7CD2" w:rsidRDefault="00FE6F6D" w:rsidP="00AE7CD2">
      <w:pPr>
        <w:pStyle w:val="Heading3"/>
      </w:pPr>
      <w:r>
        <w:t>Table 2: Gender of clients</w:t>
      </w:r>
    </w:p>
    <w:tbl>
      <w:tblPr>
        <w:tblStyle w:val="TableGrid"/>
        <w:tblW w:w="9322" w:type="dxa"/>
        <w:tblLayout w:type="fixed"/>
        <w:tblLook w:val="04A0" w:firstRow="1" w:lastRow="0" w:firstColumn="1" w:lastColumn="0" w:noHBand="0" w:noVBand="1"/>
      </w:tblPr>
      <w:tblGrid>
        <w:gridCol w:w="1363"/>
        <w:gridCol w:w="2078"/>
        <w:gridCol w:w="778"/>
        <w:gridCol w:w="992"/>
        <w:gridCol w:w="1701"/>
        <w:gridCol w:w="1668"/>
        <w:gridCol w:w="742"/>
      </w:tblGrid>
      <w:tr w:rsidR="00FE6F6D" w:rsidRPr="006E620B" w:rsidTr="006E620B">
        <w:tc>
          <w:tcPr>
            <w:tcW w:w="1363" w:type="dxa"/>
          </w:tcPr>
          <w:p w:rsidR="00FE6F6D" w:rsidRPr="006E620B" w:rsidRDefault="00FE6F6D" w:rsidP="00FE6F6D">
            <w:pPr>
              <w:rPr>
                <w:b/>
              </w:rPr>
            </w:pPr>
            <w:r w:rsidRPr="006E620B">
              <w:rPr>
                <w:b/>
              </w:rPr>
              <w:t>Quarter</w:t>
            </w:r>
          </w:p>
        </w:tc>
        <w:tc>
          <w:tcPr>
            <w:tcW w:w="2078" w:type="dxa"/>
          </w:tcPr>
          <w:p w:rsidR="00FE6F6D" w:rsidRPr="006E620B" w:rsidRDefault="00FE6F6D" w:rsidP="00FE6F6D">
            <w:pPr>
              <w:rPr>
                <w:b/>
              </w:rPr>
            </w:pPr>
            <w:r w:rsidRPr="006E620B">
              <w:rPr>
                <w:b/>
              </w:rPr>
              <w:t>Period</w:t>
            </w:r>
          </w:p>
        </w:tc>
        <w:tc>
          <w:tcPr>
            <w:tcW w:w="778" w:type="dxa"/>
          </w:tcPr>
          <w:p w:rsidR="00FE6F6D" w:rsidRPr="006E620B" w:rsidRDefault="00FE6F6D" w:rsidP="00401CB7">
            <w:pPr>
              <w:rPr>
                <w:b/>
              </w:rPr>
            </w:pPr>
            <w:r w:rsidRPr="006E620B">
              <w:rPr>
                <w:b/>
              </w:rPr>
              <w:t>Male</w:t>
            </w:r>
          </w:p>
        </w:tc>
        <w:tc>
          <w:tcPr>
            <w:tcW w:w="992" w:type="dxa"/>
          </w:tcPr>
          <w:p w:rsidR="00FE6F6D" w:rsidRPr="006E620B" w:rsidRDefault="00FE6F6D" w:rsidP="00401CB7">
            <w:pPr>
              <w:rPr>
                <w:b/>
              </w:rPr>
            </w:pPr>
            <w:r w:rsidRPr="006E620B">
              <w:rPr>
                <w:b/>
              </w:rPr>
              <w:t>Female</w:t>
            </w:r>
          </w:p>
        </w:tc>
        <w:tc>
          <w:tcPr>
            <w:tcW w:w="1701" w:type="dxa"/>
          </w:tcPr>
          <w:p w:rsidR="00FE6F6D" w:rsidRPr="006E620B" w:rsidRDefault="00FE6F6D" w:rsidP="00401CB7">
            <w:pPr>
              <w:rPr>
                <w:b/>
              </w:rPr>
            </w:pPr>
            <w:r w:rsidRPr="006E620B">
              <w:rPr>
                <w:b/>
              </w:rPr>
              <w:t>Transgender</w:t>
            </w:r>
          </w:p>
        </w:tc>
        <w:tc>
          <w:tcPr>
            <w:tcW w:w="1668" w:type="dxa"/>
          </w:tcPr>
          <w:p w:rsidR="00FE6F6D" w:rsidRPr="006E620B" w:rsidRDefault="00FE6F6D" w:rsidP="00401CB7">
            <w:pPr>
              <w:rPr>
                <w:b/>
              </w:rPr>
            </w:pPr>
            <w:r w:rsidRPr="006E620B">
              <w:rPr>
                <w:b/>
              </w:rPr>
              <w:t>Not reported</w:t>
            </w:r>
          </w:p>
        </w:tc>
        <w:tc>
          <w:tcPr>
            <w:tcW w:w="742" w:type="dxa"/>
          </w:tcPr>
          <w:p w:rsidR="00FE6F6D" w:rsidRPr="006E620B" w:rsidRDefault="00FE6F6D" w:rsidP="00401CB7">
            <w:pPr>
              <w:rPr>
                <w:b/>
              </w:rPr>
            </w:pPr>
            <w:r w:rsidRPr="006E620B">
              <w:rPr>
                <w:b/>
              </w:rPr>
              <w:t>Total</w:t>
            </w:r>
          </w:p>
        </w:tc>
      </w:tr>
      <w:tr w:rsidR="003C7279" w:rsidTr="006E620B">
        <w:tc>
          <w:tcPr>
            <w:tcW w:w="1363" w:type="dxa"/>
          </w:tcPr>
          <w:p w:rsidR="003C7279" w:rsidRDefault="003C7279" w:rsidP="00FE6F6D">
            <w:r>
              <w:t>1</w:t>
            </w:r>
          </w:p>
        </w:tc>
        <w:tc>
          <w:tcPr>
            <w:tcW w:w="2078" w:type="dxa"/>
          </w:tcPr>
          <w:p w:rsidR="003C7279" w:rsidRDefault="003C7279" w:rsidP="00341164">
            <w:r>
              <w:t>Jul-Sep 2012</w:t>
            </w:r>
          </w:p>
        </w:tc>
        <w:tc>
          <w:tcPr>
            <w:tcW w:w="778" w:type="dxa"/>
          </w:tcPr>
          <w:p w:rsidR="003C7279" w:rsidRDefault="003C7279" w:rsidP="00401CB7">
            <w:r>
              <w:t>200</w:t>
            </w:r>
          </w:p>
        </w:tc>
        <w:tc>
          <w:tcPr>
            <w:tcW w:w="992" w:type="dxa"/>
          </w:tcPr>
          <w:p w:rsidR="003C7279" w:rsidRDefault="003C7279" w:rsidP="00401CB7">
            <w:r>
              <w:t>164</w:t>
            </w:r>
          </w:p>
        </w:tc>
        <w:tc>
          <w:tcPr>
            <w:tcW w:w="1701" w:type="dxa"/>
          </w:tcPr>
          <w:p w:rsidR="003C7279" w:rsidRDefault="003C7279" w:rsidP="00401CB7">
            <w:r>
              <w:t>1</w:t>
            </w:r>
          </w:p>
        </w:tc>
        <w:tc>
          <w:tcPr>
            <w:tcW w:w="1668" w:type="dxa"/>
          </w:tcPr>
          <w:p w:rsidR="003C7279" w:rsidRDefault="003C7279" w:rsidP="00401CB7">
            <w:r>
              <w:t>516</w:t>
            </w:r>
          </w:p>
        </w:tc>
        <w:tc>
          <w:tcPr>
            <w:tcW w:w="742" w:type="dxa"/>
          </w:tcPr>
          <w:p w:rsidR="003C7279" w:rsidRDefault="003C7279" w:rsidP="00401CB7">
            <w:r>
              <w:t>881</w:t>
            </w:r>
          </w:p>
        </w:tc>
      </w:tr>
      <w:tr w:rsidR="003C7279" w:rsidTr="006E620B">
        <w:tc>
          <w:tcPr>
            <w:tcW w:w="1363" w:type="dxa"/>
          </w:tcPr>
          <w:p w:rsidR="003C7279" w:rsidRDefault="003C7279" w:rsidP="00FE6F6D">
            <w:r>
              <w:t>2</w:t>
            </w:r>
          </w:p>
        </w:tc>
        <w:tc>
          <w:tcPr>
            <w:tcW w:w="2078" w:type="dxa"/>
          </w:tcPr>
          <w:p w:rsidR="003C7279" w:rsidRDefault="003C7279" w:rsidP="00341164">
            <w:r>
              <w:t>Oct-Dec 2012</w:t>
            </w:r>
          </w:p>
        </w:tc>
        <w:tc>
          <w:tcPr>
            <w:tcW w:w="778" w:type="dxa"/>
          </w:tcPr>
          <w:p w:rsidR="003C7279" w:rsidRDefault="003C7279" w:rsidP="00401CB7">
            <w:r>
              <w:t>137</w:t>
            </w:r>
          </w:p>
        </w:tc>
        <w:tc>
          <w:tcPr>
            <w:tcW w:w="992" w:type="dxa"/>
          </w:tcPr>
          <w:p w:rsidR="003C7279" w:rsidRDefault="003C7279" w:rsidP="00401CB7">
            <w:r>
              <w:t>146</w:t>
            </w:r>
          </w:p>
        </w:tc>
        <w:tc>
          <w:tcPr>
            <w:tcW w:w="1701" w:type="dxa"/>
          </w:tcPr>
          <w:p w:rsidR="003C7279" w:rsidRDefault="003C7279" w:rsidP="00401CB7">
            <w:r>
              <w:t>1</w:t>
            </w:r>
          </w:p>
        </w:tc>
        <w:tc>
          <w:tcPr>
            <w:tcW w:w="1668" w:type="dxa"/>
          </w:tcPr>
          <w:p w:rsidR="003C7279" w:rsidRDefault="003C7279" w:rsidP="00401CB7">
            <w:r>
              <w:t>425</w:t>
            </w:r>
          </w:p>
        </w:tc>
        <w:tc>
          <w:tcPr>
            <w:tcW w:w="742" w:type="dxa"/>
          </w:tcPr>
          <w:p w:rsidR="003C7279" w:rsidRDefault="003C7279" w:rsidP="00401CB7">
            <w:r>
              <w:t>709</w:t>
            </w:r>
          </w:p>
        </w:tc>
      </w:tr>
      <w:tr w:rsidR="003C7279" w:rsidTr="006E620B">
        <w:tc>
          <w:tcPr>
            <w:tcW w:w="1363" w:type="dxa"/>
            <w:tcBorders>
              <w:bottom w:val="single" w:sz="4" w:space="0" w:color="auto"/>
            </w:tcBorders>
          </w:tcPr>
          <w:p w:rsidR="003C7279" w:rsidRDefault="003C7279" w:rsidP="00FE6F6D">
            <w:r>
              <w:t>3</w:t>
            </w:r>
          </w:p>
        </w:tc>
        <w:tc>
          <w:tcPr>
            <w:tcW w:w="2078" w:type="dxa"/>
            <w:tcBorders>
              <w:bottom w:val="single" w:sz="4" w:space="0" w:color="auto"/>
            </w:tcBorders>
          </w:tcPr>
          <w:p w:rsidR="003C7279" w:rsidRDefault="003C7279" w:rsidP="00341164">
            <w:r>
              <w:t>Jan-Mar 2013</w:t>
            </w:r>
          </w:p>
        </w:tc>
        <w:tc>
          <w:tcPr>
            <w:tcW w:w="778" w:type="dxa"/>
            <w:tcBorders>
              <w:bottom w:val="single" w:sz="4" w:space="0" w:color="auto"/>
            </w:tcBorders>
          </w:tcPr>
          <w:p w:rsidR="003C7279" w:rsidRDefault="003C7279" w:rsidP="00401CB7">
            <w:r>
              <w:t>213</w:t>
            </w:r>
          </w:p>
        </w:tc>
        <w:tc>
          <w:tcPr>
            <w:tcW w:w="992" w:type="dxa"/>
            <w:tcBorders>
              <w:bottom w:val="single" w:sz="4" w:space="0" w:color="auto"/>
            </w:tcBorders>
          </w:tcPr>
          <w:p w:rsidR="003C7279" w:rsidRDefault="003C7279" w:rsidP="00401CB7">
            <w:r>
              <w:t>198</w:t>
            </w:r>
          </w:p>
        </w:tc>
        <w:tc>
          <w:tcPr>
            <w:tcW w:w="1701" w:type="dxa"/>
            <w:tcBorders>
              <w:bottom w:val="single" w:sz="4" w:space="0" w:color="auto"/>
            </w:tcBorders>
          </w:tcPr>
          <w:p w:rsidR="003C7279" w:rsidRDefault="003C7279" w:rsidP="00401CB7">
            <w:r>
              <w:t>28</w:t>
            </w:r>
          </w:p>
        </w:tc>
        <w:tc>
          <w:tcPr>
            <w:tcW w:w="1668" w:type="dxa"/>
            <w:tcBorders>
              <w:bottom w:val="single" w:sz="4" w:space="0" w:color="auto"/>
            </w:tcBorders>
          </w:tcPr>
          <w:p w:rsidR="003C7279" w:rsidRDefault="003C7279" w:rsidP="00401CB7">
            <w:r>
              <w:t>160</w:t>
            </w:r>
          </w:p>
        </w:tc>
        <w:tc>
          <w:tcPr>
            <w:tcW w:w="742" w:type="dxa"/>
            <w:tcBorders>
              <w:bottom w:val="single" w:sz="4" w:space="0" w:color="auto"/>
            </w:tcBorders>
          </w:tcPr>
          <w:p w:rsidR="003C7279" w:rsidRDefault="003C7279" w:rsidP="00401CB7">
            <w:r>
              <w:t>599</w:t>
            </w:r>
          </w:p>
        </w:tc>
      </w:tr>
      <w:tr w:rsidR="003C7279" w:rsidTr="006E620B">
        <w:tc>
          <w:tcPr>
            <w:tcW w:w="1363" w:type="dxa"/>
            <w:tcBorders>
              <w:bottom w:val="double" w:sz="4" w:space="0" w:color="auto"/>
            </w:tcBorders>
          </w:tcPr>
          <w:p w:rsidR="003C7279" w:rsidRDefault="003C7279" w:rsidP="00FE6F6D">
            <w:r>
              <w:t>4</w:t>
            </w:r>
          </w:p>
        </w:tc>
        <w:tc>
          <w:tcPr>
            <w:tcW w:w="2078" w:type="dxa"/>
            <w:tcBorders>
              <w:bottom w:val="double" w:sz="4" w:space="0" w:color="auto"/>
            </w:tcBorders>
          </w:tcPr>
          <w:p w:rsidR="003C7279" w:rsidRDefault="003C7279" w:rsidP="00341164">
            <w:r>
              <w:t>Apr-Jun 2013</w:t>
            </w:r>
          </w:p>
        </w:tc>
        <w:tc>
          <w:tcPr>
            <w:tcW w:w="778" w:type="dxa"/>
            <w:tcBorders>
              <w:bottom w:val="double" w:sz="4" w:space="0" w:color="auto"/>
            </w:tcBorders>
          </w:tcPr>
          <w:p w:rsidR="003C7279" w:rsidRDefault="003C7279" w:rsidP="00401CB7">
            <w:r>
              <w:t>238</w:t>
            </w:r>
          </w:p>
        </w:tc>
        <w:tc>
          <w:tcPr>
            <w:tcW w:w="992" w:type="dxa"/>
            <w:tcBorders>
              <w:bottom w:val="double" w:sz="4" w:space="0" w:color="auto"/>
            </w:tcBorders>
          </w:tcPr>
          <w:p w:rsidR="003C7279" w:rsidRDefault="003C7279" w:rsidP="00401CB7">
            <w:r>
              <w:t>207</w:t>
            </w:r>
          </w:p>
        </w:tc>
        <w:tc>
          <w:tcPr>
            <w:tcW w:w="1701" w:type="dxa"/>
            <w:tcBorders>
              <w:bottom w:val="double" w:sz="4" w:space="0" w:color="auto"/>
            </w:tcBorders>
          </w:tcPr>
          <w:p w:rsidR="003C7279" w:rsidRDefault="003C7279" w:rsidP="00401CB7">
            <w:r>
              <w:t>18</w:t>
            </w:r>
          </w:p>
        </w:tc>
        <w:tc>
          <w:tcPr>
            <w:tcW w:w="1668" w:type="dxa"/>
            <w:tcBorders>
              <w:bottom w:val="double" w:sz="4" w:space="0" w:color="auto"/>
            </w:tcBorders>
          </w:tcPr>
          <w:p w:rsidR="003C7279" w:rsidRDefault="003C7279" w:rsidP="00401CB7">
            <w:r>
              <w:t>372</w:t>
            </w:r>
          </w:p>
        </w:tc>
        <w:tc>
          <w:tcPr>
            <w:tcW w:w="742" w:type="dxa"/>
            <w:tcBorders>
              <w:bottom w:val="double" w:sz="4" w:space="0" w:color="auto"/>
            </w:tcBorders>
          </w:tcPr>
          <w:p w:rsidR="003C7279" w:rsidRDefault="003C7279" w:rsidP="00401CB7">
            <w:r>
              <w:t>835</w:t>
            </w:r>
          </w:p>
        </w:tc>
      </w:tr>
      <w:tr w:rsidR="00FE6F6D" w:rsidTr="006E620B">
        <w:tc>
          <w:tcPr>
            <w:tcW w:w="1363" w:type="dxa"/>
            <w:tcBorders>
              <w:top w:val="double" w:sz="4" w:space="0" w:color="auto"/>
            </w:tcBorders>
          </w:tcPr>
          <w:p w:rsidR="00FE6F6D" w:rsidRDefault="00FE6F6D" w:rsidP="00FE6F6D">
            <w:r>
              <w:t>Average per quarter</w:t>
            </w:r>
          </w:p>
        </w:tc>
        <w:tc>
          <w:tcPr>
            <w:tcW w:w="2078" w:type="dxa"/>
            <w:tcBorders>
              <w:top w:val="double" w:sz="4" w:space="0" w:color="auto"/>
            </w:tcBorders>
          </w:tcPr>
          <w:p w:rsidR="00FE6F6D" w:rsidRDefault="00FE6F6D" w:rsidP="00FE6F6D"/>
        </w:tc>
        <w:tc>
          <w:tcPr>
            <w:tcW w:w="778" w:type="dxa"/>
            <w:tcBorders>
              <w:top w:val="double" w:sz="4" w:space="0" w:color="auto"/>
            </w:tcBorders>
          </w:tcPr>
          <w:p w:rsidR="00754968" w:rsidRDefault="00754968" w:rsidP="00401CB7"/>
          <w:p w:rsidR="00FE6F6D" w:rsidRDefault="00754968" w:rsidP="00401CB7">
            <w:r>
              <w:t>197</w:t>
            </w:r>
          </w:p>
        </w:tc>
        <w:tc>
          <w:tcPr>
            <w:tcW w:w="992" w:type="dxa"/>
            <w:tcBorders>
              <w:top w:val="double" w:sz="4" w:space="0" w:color="auto"/>
            </w:tcBorders>
          </w:tcPr>
          <w:p w:rsidR="00754968" w:rsidRDefault="00754968" w:rsidP="00401CB7"/>
          <w:p w:rsidR="00FE6F6D" w:rsidRDefault="00754968" w:rsidP="00401CB7">
            <w:r>
              <w:t>179</w:t>
            </w:r>
          </w:p>
        </w:tc>
        <w:tc>
          <w:tcPr>
            <w:tcW w:w="1701" w:type="dxa"/>
            <w:tcBorders>
              <w:top w:val="double" w:sz="4" w:space="0" w:color="auto"/>
            </w:tcBorders>
          </w:tcPr>
          <w:p w:rsidR="00754968" w:rsidRDefault="00754968" w:rsidP="00401CB7"/>
          <w:p w:rsidR="00FE6F6D" w:rsidRDefault="00754968" w:rsidP="00401CB7">
            <w:r>
              <w:t>12</w:t>
            </w:r>
          </w:p>
        </w:tc>
        <w:tc>
          <w:tcPr>
            <w:tcW w:w="1668" w:type="dxa"/>
            <w:tcBorders>
              <w:top w:val="double" w:sz="4" w:space="0" w:color="auto"/>
            </w:tcBorders>
          </w:tcPr>
          <w:p w:rsidR="00754968" w:rsidRDefault="00754968" w:rsidP="00401CB7"/>
          <w:p w:rsidR="00FE6F6D" w:rsidRDefault="00754968" w:rsidP="00401CB7">
            <w:r>
              <w:t>368</w:t>
            </w:r>
          </w:p>
        </w:tc>
        <w:tc>
          <w:tcPr>
            <w:tcW w:w="742" w:type="dxa"/>
            <w:tcBorders>
              <w:top w:val="double" w:sz="4" w:space="0" w:color="auto"/>
            </w:tcBorders>
          </w:tcPr>
          <w:p w:rsidR="00754968" w:rsidRDefault="00754968" w:rsidP="00401CB7"/>
          <w:p w:rsidR="00FE6F6D" w:rsidRDefault="00754968" w:rsidP="00401CB7">
            <w:r>
              <w:t>756</w:t>
            </w:r>
          </w:p>
        </w:tc>
      </w:tr>
    </w:tbl>
    <w:p w:rsidR="00754968" w:rsidRDefault="00754968" w:rsidP="00401CB7">
      <w:pPr>
        <w:rPr>
          <w:sz w:val="18"/>
          <w:szCs w:val="18"/>
        </w:rPr>
      </w:pPr>
      <w:r w:rsidRPr="00754968">
        <w:rPr>
          <w:sz w:val="18"/>
          <w:szCs w:val="18"/>
        </w:rPr>
        <w:t>Note</w:t>
      </w:r>
      <w:r w:rsidR="006E620B">
        <w:rPr>
          <w:sz w:val="18"/>
          <w:szCs w:val="18"/>
        </w:rPr>
        <w:t>s</w:t>
      </w:r>
      <w:r w:rsidRPr="00754968">
        <w:rPr>
          <w:sz w:val="18"/>
          <w:szCs w:val="18"/>
        </w:rPr>
        <w:t>: The ‘not reported’ figure is calculated by subtracting the number of clients with a gender recorded from total number of clients reported (from table 1).</w:t>
      </w:r>
      <w:r>
        <w:rPr>
          <w:sz w:val="18"/>
          <w:szCs w:val="18"/>
        </w:rPr>
        <w:t xml:space="preserve"> Data cannot be summated </w:t>
      </w:r>
      <w:r w:rsidR="00560E31">
        <w:rPr>
          <w:sz w:val="18"/>
          <w:szCs w:val="18"/>
        </w:rPr>
        <w:t xml:space="preserve">for a total number of clients for the year, </w:t>
      </w:r>
      <w:r>
        <w:rPr>
          <w:sz w:val="18"/>
          <w:szCs w:val="18"/>
        </w:rPr>
        <w:t>as clients reported in one quarter may also have been clients in a previous quarter.</w:t>
      </w:r>
    </w:p>
    <w:p w:rsidR="00AE7CD2" w:rsidRPr="00AE7CD2" w:rsidRDefault="006E620B" w:rsidP="00AE7CD2">
      <w:pPr>
        <w:pStyle w:val="Heading3"/>
      </w:pPr>
      <w:r>
        <w:t>Figure 2: Gender of clients</w:t>
      </w:r>
      <w:r w:rsidR="00726E7B">
        <w:t>, by quarter</w:t>
      </w:r>
    </w:p>
    <w:p w:rsidR="006E620B" w:rsidRDefault="00DF01E8">
      <w:r>
        <w:rPr>
          <w:noProof/>
          <w:lang w:eastAsia="en-AU"/>
        </w:rPr>
        <w:drawing>
          <wp:inline distT="0" distB="0" distL="0" distR="0" wp14:anchorId="019872F6" wp14:editId="085ABCF4">
            <wp:extent cx="5779698" cy="3459192"/>
            <wp:effectExtent l="0" t="0" r="12065" b="273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7279" w:rsidRDefault="003C7279">
      <w:pPr>
        <w:rPr>
          <w:rFonts w:ascii="Century Gothic" w:eastAsiaTheme="majorEastAsia" w:hAnsi="Century Gothic" w:cstheme="majorBidi"/>
          <w:b/>
          <w:bCs/>
          <w:sz w:val="26"/>
          <w:szCs w:val="26"/>
        </w:rPr>
      </w:pPr>
      <w:r>
        <w:br w:type="page"/>
      </w:r>
    </w:p>
    <w:p w:rsidR="006E620B" w:rsidRDefault="00081885" w:rsidP="00DF01E8">
      <w:pPr>
        <w:pStyle w:val="Heading2"/>
      </w:pPr>
      <w:r>
        <w:lastRenderedPageBreak/>
        <w:t xml:space="preserve">2.2 </w:t>
      </w:r>
      <w:r w:rsidR="006E620B">
        <w:t>Age</w:t>
      </w:r>
    </w:p>
    <w:p w:rsidR="00743C92" w:rsidRDefault="00743C92" w:rsidP="00743C92">
      <w:r>
        <w:t>On average over each quarter, the age of 463 clients was reported, compared with an average total of 756 clients per quarter. This means no age was recorded for an average of 293 clients (39%) per quarter.</w:t>
      </w:r>
    </w:p>
    <w:p w:rsidR="00DF01E8" w:rsidRDefault="00756730" w:rsidP="00756730">
      <w:r>
        <w:t xml:space="preserve">Of </w:t>
      </w:r>
      <w:r w:rsidR="00743C92">
        <w:t xml:space="preserve">the </w:t>
      </w:r>
      <w:r w:rsidR="008C395B">
        <w:t xml:space="preserve">average </w:t>
      </w:r>
      <w:r w:rsidR="00743C92">
        <w:t xml:space="preserve">463 </w:t>
      </w:r>
      <w:r w:rsidR="00DF01E8">
        <w:t xml:space="preserve">clients whose age was recorded </w:t>
      </w:r>
      <w:r w:rsidR="00560E31">
        <w:t xml:space="preserve">each </w:t>
      </w:r>
      <w:r w:rsidR="00DF01E8">
        <w:t>quarter:</w:t>
      </w:r>
    </w:p>
    <w:p w:rsidR="00DF01E8" w:rsidRDefault="00756730" w:rsidP="00DF01E8">
      <w:pPr>
        <w:pStyle w:val="ListParagraph"/>
        <w:numPr>
          <w:ilvl w:val="0"/>
          <w:numId w:val="2"/>
        </w:numPr>
      </w:pPr>
      <w:r>
        <w:t>4 per cent</w:t>
      </w:r>
      <w:r w:rsidR="00743C92">
        <w:t xml:space="preserve"> (17)</w:t>
      </w:r>
      <w:r>
        <w:t xml:space="preserve"> were age</w:t>
      </w:r>
      <w:r w:rsidR="00DF01E8">
        <w:t>d 0-4</w:t>
      </w:r>
      <w:r w:rsidR="00560E31">
        <w:t>;</w:t>
      </w:r>
    </w:p>
    <w:p w:rsidR="00DF01E8" w:rsidRDefault="00DF01E8" w:rsidP="00DF01E8">
      <w:pPr>
        <w:pStyle w:val="ListParagraph"/>
        <w:numPr>
          <w:ilvl w:val="0"/>
          <w:numId w:val="2"/>
        </w:numPr>
      </w:pPr>
      <w:r>
        <w:t xml:space="preserve">21 per cent </w:t>
      </w:r>
      <w:r w:rsidR="00743C92">
        <w:t xml:space="preserve">(96) </w:t>
      </w:r>
      <w:r>
        <w:t>were aged 5-14</w:t>
      </w:r>
      <w:r w:rsidR="00560E31">
        <w:t>;</w:t>
      </w:r>
    </w:p>
    <w:p w:rsidR="00DF01E8" w:rsidRDefault="00DF01E8" w:rsidP="00DF01E8">
      <w:pPr>
        <w:pStyle w:val="ListParagraph"/>
        <w:numPr>
          <w:ilvl w:val="0"/>
          <w:numId w:val="2"/>
        </w:numPr>
      </w:pPr>
      <w:r>
        <w:t xml:space="preserve">18 per cent </w:t>
      </w:r>
      <w:r w:rsidR="00743C92">
        <w:t xml:space="preserve">(85) </w:t>
      </w:r>
      <w:r>
        <w:t>were aged 15-24</w:t>
      </w:r>
      <w:r w:rsidR="00560E31">
        <w:t>;</w:t>
      </w:r>
    </w:p>
    <w:p w:rsidR="00DF01E8" w:rsidRDefault="00756730" w:rsidP="00DF01E8">
      <w:pPr>
        <w:pStyle w:val="ListParagraph"/>
        <w:numPr>
          <w:ilvl w:val="0"/>
          <w:numId w:val="2"/>
        </w:numPr>
      </w:pPr>
      <w:r>
        <w:t>52 per</w:t>
      </w:r>
      <w:r w:rsidR="007515F5">
        <w:t xml:space="preserve"> </w:t>
      </w:r>
      <w:r>
        <w:t xml:space="preserve">cent </w:t>
      </w:r>
      <w:r w:rsidR="00743C92">
        <w:t xml:space="preserve">(243) </w:t>
      </w:r>
      <w:r>
        <w:t xml:space="preserve">were aged </w:t>
      </w:r>
      <w:r w:rsidR="00AE7CD2">
        <w:t>25-64</w:t>
      </w:r>
      <w:r w:rsidR="00560E31">
        <w:t>;</w:t>
      </w:r>
      <w:r w:rsidR="00AE7CD2">
        <w:t xml:space="preserve"> and </w:t>
      </w:r>
    </w:p>
    <w:p w:rsidR="00756730" w:rsidRDefault="00DF01E8" w:rsidP="00DF01E8">
      <w:pPr>
        <w:pStyle w:val="ListParagraph"/>
        <w:numPr>
          <w:ilvl w:val="0"/>
          <w:numId w:val="2"/>
        </w:numPr>
      </w:pPr>
      <w:r>
        <w:t xml:space="preserve">5 per cent </w:t>
      </w:r>
      <w:r w:rsidR="00743C92">
        <w:t xml:space="preserve">(22) </w:t>
      </w:r>
      <w:r>
        <w:t>were aged over 65.</w:t>
      </w:r>
    </w:p>
    <w:p w:rsidR="006E620B" w:rsidRPr="00AE7CD2" w:rsidRDefault="00AE7CD2" w:rsidP="006E620B">
      <w:pPr>
        <w:rPr>
          <w:b/>
        </w:rPr>
      </w:pPr>
      <w:r w:rsidRPr="00AE7CD2">
        <w:rPr>
          <w:b/>
        </w:rPr>
        <w:t>Table 3: Age of Clients</w:t>
      </w:r>
    </w:p>
    <w:tbl>
      <w:tblPr>
        <w:tblStyle w:val="TableGrid"/>
        <w:tblW w:w="9889" w:type="dxa"/>
        <w:tblLayout w:type="fixed"/>
        <w:tblLook w:val="04A0" w:firstRow="1" w:lastRow="0" w:firstColumn="1" w:lastColumn="0" w:noHBand="0" w:noVBand="1"/>
      </w:tblPr>
      <w:tblGrid>
        <w:gridCol w:w="1363"/>
        <w:gridCol w:w="1155"/>
        <w:gridCol w:w="1134"/>
        <w:gridCol w:w="1134"/>
        <w:gridCol w:w="992"/>
        <w:gridCol w:w="993"/>
        <w:gridCol w:w="992"/>
        <w:gridCol w:w="1134"/>
        <w:gridCol w:w="992"/>
      </w:tblGrid>
      <w:tr w:rsidR="00756730" w:rsidRPr="006E620B" w:rsidTr="00341164">
        <w:tc>
          <w:tcPr>
            <w:tcW w:w="1363" w:type="dxa"/>
          </w:tcPr>
          <w:p w:rsidR="00756730" w:rsidRPr="006E620B" w:rsidRDefault="00756730" w:rsidP="00756730">
            <w:pPr>
              <w:rPr>
                <w:b/>
              </w:rPr>
            </w:pPr>
            <w:r w:rsidRPr="006E620B">
              <w:rPr>
                <w:b/>
              </w:rPr>
              <w:t>Quarter</w:t>
            </w:r>
          </w:p>
        </w:tc>
        <w:tc>
          <w:tcPr>
            <w:tcW w:w="1155" w:type="dxa"/>
          </w:tcPr>
          <w:p w:rsidR="00756730" w:rsidRPr="006E620B" w:rsidRDefault="00756730" w:rsidP="00756730">
            <w:pPr>
              <w:rPr>
                <w:b/>
              </w:rPr>
            </w:pPr>
            <w:r w:rsidRPr="006E620B">
              <w:rPr>
                <w:b/>
              </w:rPr>
              <w:t>Period</w:t>
            </w:r>
          </w:p>
        </w:tc>
        <w:tc>
          <w:tcPr>
            <w:tcW w:w="1134" w:type="dxa"/>
          </w:tcPr>
          <w:p w:rsidR="00756730" w:rsidRDefault="00341164" w:rsidP="00756730">
            <w:pPr>
              <w:rPr>
                <w:b/>
              </w:rPr>
            </w:pPr>
            <w:r>
              <w:rPr>
                <w:b/>
              </w:rPr>
              <w:t>Age</w:t>
            </w:r>
          </w:p>
          <w:p w:rsidR="00756730" w:rsidRPr="006E620B" w:rsidRDefault="00756730" w:rsidP="00756730">
            <w:pPr>
              <w:rPr>
                <w:b/>
              </w:rPr>
            </w:pPr>
            <w:r>
              <w:rPr>
                <w:b/>
              </w:rPr>
              <w:t>0-4</w:t>
            </w:r>
          </w:p>
        </w:tc>
        <w:tc>
          <w:tcPr>
            <w:tcW w:w="1134" w:type="dxa"/>
          </w:tcPr>
          <w:p w:rsidR="00756730" w:rsidRDefault="00341164" w:rsidP="00756730">
            <w:pPr>
              <w:rPr>
                <w:b/>
              </w:rPr>
            </w:pPr>
            <w:r>
              <w:rPr>
                <w:b/>
              </w:rPr>
              <w:t>Age</w:t>
            </w:r>
          </w:p>
          <w:p w:rsidR="00756730" w:rsidRPr="006E620B" w:rsidRDefault="00756730" w:rsidP="00756730">
            <w:pPr>
              <w:rPr>
                <w:b/>
              </w:rPr>
            </w:pPr>
            <w:r>
              <w:rPr>
                <w:b/>
              </w:rPr>
              <w:t>5-14</w:t>
            </w:r>
          </w:p>
        </w:tc>
        <w:tc>
          <w:tcPr>
            <w:tcW w:w="992" w:type="dxa"/>
          </w:tcPr>
          <w:p w:rsidR="00756730" w:rsidRDefault="00341164" w:rsidP="00756730">
            <w:pPr>
              <w:rPr>
                <w:b/>
              </w:rPr>
            </w:pPr>
            <w:r>
              <w:rPr>
                <w:b/>
              </w:rPr>
              <w:t>Age</w:t>
            </w:r>
          </w:p>
          <w:p w:rsidR="00756730" w:rsidRPr="006E620B" w:rsidRDefault="00756730" w:rsidP="00756730">
            <w:pPr>
              <w:rPr>
                <w:b/>
              </w:rPr>
            </w:pPr>
            <w:r>
              <w:rPr>
                <w:b/>
              </w:rPr>
              <w:t>15-24</w:t>
            </w:r>
          </w:p>
        </w:tc>
        <w:tc>
          <w:tcPr>
            <w:tcW w:w="993" w:type="dxa"/>
          </w:tcPr>
          <w:p w:rsidR="00756730" w:rsidRDefault="00341164" w:rsidP="00756730">
            <w:pPr>
              <w:rPr>
                <w:b/>
              </w:rPr>
            </w:pPr>
            <w:r>
              <w:rPr>
                <w:b/>
              </w:rPr>
              <w:t>Age</w:t>
            </w:r>
          </w:p>
          <w:p w:rsidR="00756730" w:rsidRPr="006E620B" w:rsidRDefault="00756730" w:rsidP="00756730">
            <w:pPr>
              <w:rPr>
                <w:b/>
              </w:rPr>
            </w:pPr>
            <w:r>
              <w:rPr>
                <w:b/>
              </w:rPr>
              <w:t>25-64</w:t>
            </w:r>
          </w:p>
        </w:tc>
        <w:tc>
          <w:tcPr>
            <w:tcW w:w="992" w:type="dxa"/>
          </w:tcPr>
          <w:p w:rsidR="00756730" w:rsidRDefault="00341164" w:rsidP="00756730">
            <w:pPr>
              <w:rPr>
                <w:b/>
              </w:rPr>
            </w:pPr>
            <w:r>
              <w:rPr>
                <w:b/>
              </w:rPr>
              <w:t>Age</w:t>
            </w:r>
          </w:p>
          <w:p w:rsidR="00756730" w:rsidRPr="006E620B" w:rsidRDefault="00756730" w:rsidP="00756730">
            <w:pPr>
              <w:rPr>
                <w:b/>
              </w:rPr>
            </w:pPr>
            <w:r>
              <w:rPr>
                <w:b/>
              </w:rPr>
              <w:t>65+</w:t>
            </w:r>
          </w:p>
        </w:tc>
        <w:tc>
          <w:tcPr>
            <w:tcW w:w="1134" w:type="dxa"/>
          </w:tcPr>
          <w:p w:rsidR="00756730" w:rsidRPr="006E620B" w:rsidRDefault="00756730" w:rsidP="00756730">
            <w:pPr>
              <w:rPr>
                <w:b/>
              </w:rPr>
            </w:pPr>
            <w:r w:rsidRPr="006E620B">
              <w:rPr>
                <w:b/>
              </w:rPr>
              <w:t>Not reported</w:t>
            </w:r>
          </w:p>
        </w:tc>
        <w:tc>
          <w:tcPr>
            <w:tcW w:w="992" w:type="dxa"/>
          </w:tcPr>
          <w:p w:rsidR="00756730" w:rsidRPr="006E620B" w:rsidRDefault="00756730" w:rsidP="00756730">
            <w:pPr>
              <w:rPr>
                <w:b/>
              </w:rPr>
            </w:pPr>
            <w:r w:rsidRPr="006E620B">
              <w:rPr>
                <w:b/>
              </w:rPr>
              <w:t>Total</w:t>
            </w:r>
          </w:p>
        </w:tc>
      </w:tr>
      <w:tr w:rsidR="00756730" w:rsidTr="00341164">
        <w:tc>
          <w:tcPr>
            <w:tcW w:w="1363" w:type="dxa"/>
          </w:tcPr>
          <w:p w:rsidR="00756730" w:rsidRDefault="00756730" w:rsidP="00756730">
            <w:r>
              <w:t>1</w:t>
            </w:r>
          </w:p>
        </w:tc>
        <w:tc>
          <w:tcPr>
            <w:tcW w:w="1155" w:type="dxa"/>
          </w:tcPr>
          <w:p w:rsidR="00756730" w:rsidRDefault="00756730" w:rsidP="00756730">
            <w:r>
              <w:t>Jul-Sep 2012</w:t>
            </w:r>
          </w:p>
        </w:tc>
        <w:tc>
          <w:tcPr>
            <w:tcW w:w="1134" w:type="dxa"/>
          </w:tcPr>
          <w:p w:rsidR="00756730" w:rsidRDefault="00756730" w:rsidP="00756730">
            <w:r>
              <w:t>46</w:t>
            </w:r>
          </w:p>
        </w:tc>
        <w:tc>
          <w:tcPr>
            <w:tcW w:w="1134" w:type="dxa"/>
          </w:tcPr>
          <w:p w:rsidR="00756730" w:rsidRDefault="00756730" w:rsidP="00756730">
            <w:r>
              <w:t>207</w:t>
            </w:r>
          </w:p>
        </w:tc>
        <w:tc>
          <w:tcPr>
            <w:tcW w:w="992" w:type="dxa"/>
          </w:tcPr>
          <w:p w:rsidR="00756730" w:rsidRDefault="00756730" w:rsidP="00756730">
            <w:r>
              <w:t>107</w:t>
            </w:r>
          </w:p>
        </w:tc>
        <w:tc>
          <w:tcPr>
            <w:tcW w:w="993" w:type="dxa"/>
          </w:tcPr>
          <w:p w:rsidR="00756730" w:rsidRDefault="00756730" w:rsidP="00756730">
            <w:r>
              <w:t>313</w:t>
            </w:r>
          </w:p>
        </w:tc>
        <w:tc>
          <w:tcPr>
            <w:tcW w:w="992" w:type="dxa"/>
          </w:tcPr>
          <w:p w:rsidR="00756730" w:rsidRDefault="00756730" w:rsidP="00756730">
            <w:r>
              <w:t>31</w:t>
            </w:r>
          </w:p>
        </w:tc>
        <w:tc>
          <w:tcPr>
            <w:tcW w:w="1134" w:type="dxa"/>
          </w:tcPr>
          <w:p w:rsidR="00756730" w:rsidRDefault="00756730" w:rsidP="00756730">
            <w:r>
              <w:t>177</w:t>
            </w:r>
          </w:p>
        </w:tc>
        <w:tc>
          <w:tcPr>
            <w:tcW w:w="992" w:type="dxa"/>
          </w:tcPr>
          <w:p w:rsidR="00756730" w:rsidRDefault="00756730" w:rsidP="00756730">
            <w:r>
              <w:t>881</w:t>
            </w:r>
          </w:p>
        </w:tc>
      </w:tr>
      <w:tr w:rsidR="00756730" w:rsidTr="00341164">
        <w:tc>
          <w:tcPr>
            <w:tcW w:w="1363" w:type="dxa"/>
          </w:tcPr>
          <w:p w:rsidR="00756730" w:rsidRDefault="00756730" w:rsidP="00756730">
            <w:r>
              <w:t>2</w:t>
            </w:r>
          </w:p>
        </w:tc>
        <w:tc>
          <w:tcPr>
            <w:tcW w:w="1155" w:type="dxa"/>
          </w:tcPr>
          <w:p w:rsidR="00756730" w:rsidRDefault="00756730" w:rsidP="00756730">
            <w:r>
              <w:t>Oct-Dec 2012</w:t>
            </w:r>
          </w:p>
        </w:tc>
        <w:tc>
          <w:tcPr>
            <w:tcW w:w="1134" w:type="dxa"/>
          </w:tcPr>
          <w:p w:rsidR="00756730" w:rsidRDefault="00756730" w:rsidP="00756730">
            <w:r>
              <w:t>9</w:t>
            </w:r>
          </w:p>
        </w:tc>
        <w:tc>
          <w:tcPr>
            <w:tcW w:w="1134" w:type="dxa"/>
          </w:tcPr>
          <w:p w:rsidR="00756730" w:rsidRDefault="00756730" w:rsidP="00756730">
            <w:r>
              <w:t>35</w:t>
            </w:r>
          </w:p>
        </w:tc>
        <w:tc>
          <w:tcPr>
            <w:tcW w:w="992" w:type="dxa"/>
          </w:tcPr>
          <w:p w:rsidR="00756730" w:rsidRDefault="00756730" w:rsidP="00756730">
            <w:r>
              <w:t>62</w:t>
            </w:r>
          </w:p>
        </w:tc>
        <w:tc>
          <w:tcPr>
            <w:tcW w:w="993" w:type="dxa"/>
          </w:tcPr>
          <w:p w:rsidR="00756730" w:rsidRDefault="00756730" w:rsidP="00756730">
            <w:r>
              <w:t>160</w:t>
            </w:r>
          </w:p>
        </w:tc>
        <w:tc>
          <w:tcPr>
            <w:tcW w:w="992" w:type="dxa"/>
          </w:tcPr>
          <w:p w:rsidR="00756730" w:rsidRDefault="00756730" w:rsidP="00756730">
            <w:r>
              <w:t>23</w:t>
            </w:r>
          </w:p>
        </w:tc>
        <w:tc>
          <w:tcPr>
            <w:tcW w:w="1134" w:type="dxa"/>
          </w:tcPr>
          <w:p w:rsidR="00756730" w:rsidRDefault="00756730" w:rsidP="00756730">
            <w:r>
              <w:t>420</w:t>
            </w:r>
          </w:p>
        </w:tc>
        <w:tc>
          <w:tcPr>
            <w:tcW w:w="992" w:type="dxa"/>
          </w:tcPr>
          <w:p w:rsidR="00756730" w:rsidRDefault="00756730" w:rsidP="00756730">
            <w:r>
              <w:t>709</w:t>
            </w:r>
          </w:p>
        </w:tc>
      </w:tr>
      <w:tr w:rsidR="00756730" w:rsidTr="00341164">
        <w:tc>
          <w:tcPr>
            <w:tcW w:w="1363" w:type="dxa"/>
            <w:tcBorders>
              <w:bottom w:val="single" w:sz="4" w:space="0" w:color="auto"/>
            </w:tcBorders>
          </w:tcPr>
          <w:p w:rsidR="00756730" w:rsidRDefault="00756730" w:rsidP="00756730">
            <w:r>
              <w:t>3</w:t>
            </w:r>
          </w:p>
        </w:tc>
        <w:tc>
          <w:tcPr>
            <w:tcW w:w="1155" w:type="dxa"/>
            <w:tcBorders>
              <w:bottom w:val="single" w:sz="4" w:space="0" w:color="auto"/>
            </w:tcBorders>
          </w:tcPr>
          <w:p w:rsidR="00756730" w:rsidRDefault="00756730" w:rsidP="00756730">
            <w:r>
              <w:t>Jan-Mar 2013</w:t>
            </w:r>
          </w:p>
        </w:tc>
        <w:tc>
          <w:tcPr>
            <w:tcW w:w="1134" w:type="dxa"/>
            <w:tcBorders>
              <w:bottom w:val="single" w:sz="4" w:space="0" w:color="auto"/>
            </w:tcBorders>
          </w:tcPr>
          <w:p w:rsidR="00756730" w:rsidRDefault="00756730" w:rsidP="00756730">
            <w:r>
              <w:t>7</w:t>
            </w:r>
          </w:p>
        </w:tc>
        <w:tc>
          <w:tcPr>
            <w:tcW w:w="1134" w:type="dxa"/>
            <w:tcBorders>
              <w:bottom w:val="single" w:sz="4" w:space="0" w:color="auto"/>
            </w:tcBorders>
          </w:tcPr>
          <w:p w:rsidR="00756730" w:rsidRDefault="00756730" w:rsidP="00756730">
            <w:r>
              <w:t>47</w:t>
            </w:r>
          </w:p>
        </w:tc>
        <w:tc>
          <w:tcPr>
            <w:tcW w:w="992" w:type="dxa"/>
            <w:tcBorders>
              <w:bottom w:val="single" w:sz="4" w:space="0" w:color="auto"/>
            </w:tcBorders>
          </w:tcPr>
          <w:p w:rsidR="00756730" w:rsidRDefault="00756730" w:rsidP="00756730">
            <w:r>
              <w:t>99</w:t>
            </w:r>
          </w:p>
        </w:tc>
        <w:tc>
          <w:tcPr>
            <w:tcW w:w="993" w:type="dxa"/>
            <w:tcBorders>
              <w:bottom w:val="single" w:sz="4" w:space="0" w:color="auto"/>
            </w:tcBorders>
          </w:tcPr>
          <w:p w:rsidR="00756730" w:rsidRDefault="00756730" w:rsidP="00756730">
            <w:r>
              <w:t>247</w:t>
            </w:r>
          </w:p>
        </w:tc>
        <w:tc>
          <w:tcPr>
            <w:tcW w:w="992" w:type="dxa"/>
            <w:tcBorders>
              <w:bottom w:val="single" w:sz="4" w:space="0" w:color="auto"/>
            </w:tcBorders>
          </w:tcPr>
          <w:p w:rsidR="00756730" w:rsidRDefault="00756730" w:rsidP="00756730">
            <w:r>
              <w:t>15</w:t>
            </w:r>
          </w:p>
        </w:tc>
        <w:tc>
          <w:tcPr>
            <w:tcW w:w="1134" w:type="dxa"/>
            <w:tcBorders>
              <w:bottom w:val="single" w:sz="4" w:space="0" w:color="auto"/>
            </w:tcBorders>
          </w:tcPr>
          <w:p w:rsidR="00756730" w:rsidRDefault="00756730" w:rsidP="00756730">
            <w:r>
              <w:t>184</w:t>
            </w:r>
          </w:p>
        </w:tc>
        <w:tc>
          <w:tcPr>
            <w:tcW w:w="992" w:type="dxa"/>
            <w:tcBorders>
              <w:bottom w:val="single" w:sz="4" w:space="0" w:color="auto"/>
            </w:tcBorders>
          </w:tcPr>
          <w:p w:rsidR="00756730" w:rsidRDefault="00756730" w:rsidP="00756730">
            <w:r>
              <w:t>599</w:t>
            </w:r>
          </w:p>
        </w:tc>
      </w:tr>
      <w:tr w:rsidR="00756730" w:rsidTr="00341164">
        <w:trPr>
          <w:trHeight w:val="321"/>
        </w:trPr>
        <w:tc>
          <w:tcPr>
            <w:tcW w:w="1363" w:type="dxa"/>
            <w:tcBorders>
              <w:bottom w:val="double" w:sz="4" w:space="0" w:color="auto"/>
            </w:tcBorders>
          </w:tcPr>
          <w:p w:rsidR="00756730" w:rsidRDefault="00756730" w:rsidP="00756730">
            <w:r>
              <w:t>4</w:t>
            </w:r>
          </w:p>
        </w:tc>
        <w:tc>
          <w:tcPr>
            <w:tcW w:w="1155" w:type="dxa"/>
            <w:tcBorders>
              <w:bottom w:val="double" w:sz="4" w:space="0" w:color="auto"/>
            </w:tcBorders>
          </w:tcPr>
          <w:p w:rsidR="00756730" w:rsidRDefault="00756730" w:rsidP="00756730">
            <w:r>
              <w:t>Apr-Jun 2013</w:t>
            </w:r>
          </w:p>
        </w:tc>
        <w:tc>
          <w:tcPr>
            <w:tcW w:w="1134" w:type="dxa"/>
            <w:tcBorders>
              <w:bottom w:val="double" w:sz="4" w:space="0" w:color="auto"/>
            </w:tcBorders>
          </w:tcPr>
          <w:p w:rsidR="00756730" w:rsidRDefault="00756730" w:rsidP="00756730">
            <w:r>
              <w:t>7</w:t>
            </w:r>
          </w:p>
        </w:tc>
        <w:tc>
          <w:tcPr>
            <w:tcW w:w="1134" w:type="dxa"/>
            <w:tcBorders>
              <w:bottom w:val="double" w:sz="4" w:space="0" w:color="auto"/>
            </w:tcBorders>
          </w:tcPr>
          <w:p w:rsidR="00756730" w:rsidRDefault="00756730" w:rsidP="00756730">
            <w:r>
              <w:t>95</w:t>
            </w:r>
          </w:p>
        </w:tc>
        <w:tc>
          <w:tcPr>
            <w:tcW w:w="992" w:type="dxa"/>
            <w:tcBorders>
              <w:bottom w:val="double" w:sz="4" w:space="0" w:color="auto"/>
            </w:tcBorders>
          </w:tcPr>
          <w:p w:rsidR="00756730" w:rsidRDefault="00756730" w:rsidP="00756730">
            <w:r>
              <w:t>72</w:t>
            </w:r>
          </w:p>
        </w:tc>
        <w:tc>
          <w:tcPr>
            <w:tcW w:w="993" w:type="dxa"/>
            <w:tcBorders>
              <w:bottom w:val="double" w:sz="4" w:space="0" w:color="auto"/>
            </w:tcBorders>
          </w:tcPr>
          <w:p w:rsidR="00756730" w:rsidRDefault="00756730" w:rsidP="00756730">
            <w:r>
              <w:t>253</w:t>
            </w:r>
          </w:p>
        </w:tc>
        <w:tc>
          <w:tcPr>
            <w:tcW w:w="992" w:type="dxa"/>
            <w:tcBorders>
              <w:bottom w:val="double" w:sz="4" w:space="0" w:color="auto"/>
            </w:tcBorders>
          </w:tcPr>
          <w:p w:rsidR="00756730" w:rsidRDefault="00756730" w:rsidP="00756730">
            <w:r>
              <w:t>19</w:t>
            </w:r>
          </w:p>
        </w:tc>
        <w:tc>
          <w:tcPr>
            <w:tcW w:w="1134" w:type="dxa"/>
            <w:tcBorders>
              <w:bottom w:val="double" w:sz="4" w:space="0" w:color="auto"/>
            </w:tcBorders>
          </w:tcPr>
          <w:p w:rsidR="00756730" w:rsidRDefault="00756730" w:rsidP="00756730">
            <w:r>
              <w:t>389</w:t>
            </w:r>
          </w:p>
        </w:tc>
        <w:tc>
          <w:tcPr>
            <w:tcW w:w="992" w:type="dxa"/>
            <w:tcBorders>
              <w:bottom w:val="double" w:sz="4" w:space="0" w:color="auto"/>
            </w:tcBorders>
          </w:tcPr>
          <w:p w:rsidR="00756730" w:rsidRDefault="00756730" w:rsidP="00756730">
            <w:r>
              <w:t>835</w:t>
            </w:r>
          </w:p>
        </w:tc>
      </w:tr>
      <w:tr w:rsidR="00756730" w:rsidTr="00341164">
        <w:tc>
          <w:tcPr>
            <w:tcW w:w="1363" w:type="dxa"/>
            <w:tcBorders>
              <w:top w:val="double" w:sz="4" w:space="0" w:color="auto"/>
            </w:tcBorders>
          </w:tcPr>
          <w:p w:rsidR="00756730" w:rsidRDefault="00756730" w:rsidP="00756730">
            <w:r>
              <w:t>Average per quarter</w:t>
            </w:r>
          </w:p>
        </w:tc>
        <w:tc>
          <w:tcPr>
            <w:tcW w:w="1155" w:type="dxa"/>
            <w:tcBorders>
              <w:top w:val="double" w:sz="4" w:space="0" w:color="auto"/>
            </w:tcBorders>
          </w:tcPr>
          <w:p w:rsidR="00756730" w:rsidRDefault="00756730" w:rsidP="00756730"/>
        </w:tc>
        <w:tc>
          <w:tcPr>
            <w:tcW w:w="1134" w:type="dxa"/>
            <w:tcBorders>
              <w:top w:val="double" w:sz="4" w:space="0" w:color="auto"/>
            </w:tcBorders>
          </w:tcPr>
          <w:p w:rsidR="00756730" w:rsidRDefault="00756730" w:rsidP="00756730"/>
          <w:p w:rsidR="00756730" w:rsidRDefault="00756730" w:rsidP="00756730">
            <w:r>
              <w:t>17</w:t>
            </w:r>
          </w:p>
        </w:tc>
        <w:tc>
          <w:tcPr>
            <w:tcW w:w="1134" w:type="dxa"/>
            <w:tcBorders>
              <w:top w:val="double" w:sz="4" w:space="0" w:color="auto"/>
            </w:tcBorders>
          </w:tcPr>
          <w:p w:rsidR="00756730" w:rsidRDefault="00756730" w:rsidP="00756730"/>
          <w:p w:rsidR="00756730" w:rsidRDefault="00756730" w:rsidP="00756730">
            <w:r>
              <w:t>96</w:t>
            </w:r>
          </w:p>
        </w:tc>
        <w:tc>
          <w:tcPr>
            <w:tcW w:w="992" w:type="dxa"/>
            <w:tcBorders>
              <w:top w:val="double" w:sz="4" w:space="0" w:color="auto"/>
            </w:tcBorders>
          </w:tcPr>
          <w:p w:rsidR="00756730" w:rsidRDefault="00756730" w:rsidP="00756730"/>
          <w:p w:rsidR="00756730" w:rsidRDefault="00756730" w:rsidP="00756730">
            <w:r>
              <w:t>85</w:t>
            </w:r>
          </w:p>
        </w:tc>
        <w:tc>
          <w:tcPr>
            <w:tcW w:w="993" w:type="dxa"/>
            <w:tcBorders>
              <w:top w:val="double" w:sz="4" w:space="0" w:color="auto"/>
            </w:tcBorders>
          </w:tcPr>
          <w:p w:rsidR="00756730" w:rsidRDefault="00756730" w:rsidP="00756730"/>
          <w:p w:rsidR="00756730" w:rsidRDefault="00756730" w:rsidP="00756730">
            <w:r>
              <w:t>243</w:t>
            </w:r>
          </w:p>
        </w:tc>
        <w:tc>
          <w:tcPr>
            <w:tcW w:w="992" w:type="dxa"/>
            <w:tcBorders>
              <w:top w:val="double" w:sz="4" w:space="0" w:color="auto"/>
            </w:tcBorders>
          </w:tcPr>
          <w:p w:rsidR="00756730" w:rsidRDefault="00756730" w:rsidP="00756730"/>
          <w:p w:rsidR="00756730" w:rsidRDefault="00756730" w:rsidP="00756730">
            <w:r>
              <w:t>22</w:t>
            </w:r>
          </w:p>
        </w:tc>
        <w:tc>
          <w:tcPr>
            <w:tcW w:w="1134" w:type="dxa"/>
            <w:tcBorders>
              <w:top w:val="double" w:sz="4" w:space="0" w:color="auto"/>
            </w:tcBorders>
          </w:tcPr>
          <w:p w:rsidR="00756730" w:rsidRDefault="00756730" w:rsidP="00756730"/>
          <w:p w:rsidR="00756730" w:rsidRDefault="00756730" w:rsidP="00756730">
            <w:r>
              <w:t>293</w:t>
            </w:r>
          </w:p>
        </w:tc>
        <w:tc>
          <w:tcPr>
            <w:tcW w:w="992" w:type="dxa"/>
            <w:tcBorders>
              <w:top w:val="double" w:sz="4" w:space="0" w:color="auto"/>
            </w:tcBorders>
          </w:tcPr>
          <w:p w:rsidR="00756730" w:rsidRDefault="00756730" w:rsidP="00756730"/>
          <w:p w:rsidR="00756730" w:rsidRDefault="00756730" w:rsidP="00756730">
            <w:r>
              <w:t>756</w:t>
            </w:r>
          </w:p>
        </w:tc>
      </w:tr>
    </w:tbl>
    <w:p w:rsidR="00DF01E8" w:rsidRDefault="00AE7CD2" w:rsidP="00DF01E8">
      <w:pPr>
        <w:rPr>
          <w:sz w:val="18"/>
          <w:szCs w:val="18"/>
        </w:rPr>
      </w:pPr>
      <w:r w:rsidRPr="00754968">
        <w:rPr>
          <w:sz w:val="18"/>
          <w:szCs w:val="18"/>
        </w:rPr>
        <w:t>Note</w:t>
      </w:r>
      <w:r>
        <w:rPr>
          <w:sz w:val="18"/>
          <w:szCs w:val="18"/>
        </w:rPr>
        <w:t>s</w:t>
      </w:r>
      <w:r w:rsidRPr="00754968">
        <w:rPr>
          <w:sz w:val="18"/>
          <w:szCs w:val="18"/>
        </w:rPr>
        <w:t>: The ‘not reported’ figure is calculated by subtracting the</w:t>
      </w:r>
      <w:r w:rsidR="00DF01E8">
        <w:rPr>
          <w:sz w:val="18"/>
          <w:szCs w:val="18"/>
        </w:rPr>
        <w:t xml:space="preserve"> number of clients with age</w:t>
      </w:r>
      <w:r w:rsidRPr="00754968">
        <w:rPr>
          <w:sz w:val="18"/>
          <w:szCs w:val="18"/>
        </w:rPr>
        <w:t xml:space="preserve"> recorded from total number of clients reported (from </w:t>
      </w:r>
      <w:r w:rsidR="00743C92">
        <w:rPr>
          <w:sz w:val="18"/>
          <w:szCs w:val="18"/>
        </w:rPr>
        <w:t>T</w:t>
      </w:r>
      <w:r w:rsidRPr="00754968">
        <w:rPr>
          <w:sz w:val="18"/>
          <w:szCs w:val="18"/>
        </w:rPr>
        <w:t>able 1).</w:t>
      </w:r>
      <w:r>
        <w:rPr>
          <w:sz w:val="18"/>
          <w:szCs w:val="18"/>
        </w:rPr>
        <w:t xml:space="preserve"> Data cannot be summated </w:t>
      </w:r>
      <w:r w:rsidR="00743C92">
        <w:rPr>
          <w:sz w:val="18"/>
          <w:szCs w:val="18"/>
        </w:rPr>
        <w:t xml:space="preserve">for a total number of clients for the year, </w:t>
      </w:r>
      <w:r>
        <w:rPr>
          <w:sz w:val="18"/>
          <w:szCs w:val="18"/>
        </w:rPr>
        <w:t>as clients reported in one quarter may also have been clients in a previous quarter.</w:t>
      </w:r>
    </w:p>
    <w:p w:rsidR="006E620B" w:rsidRPr="00DF01E8" w:rsidRDefault="00726E7B" w:rsidP="00DF01E8">
      <w:pPr>
        <w:pStyle w:val="Heading3"/>
        <w:rPr>
          <w:sz w:val="18"/>
          <w:szCs w:val="18"/>
        </w:rPr>
      </w:pPr>
      <w:r>
        <w:t>Figure 3: Age of c</w:t>
      </w:r>
      <w:r w:rsidR="00AE7CD2">
        <w:t>lients</w:t>
      </w:r>
      <w:r>
        <w:t>, by quarter</w:t>
      </w:r>
    </w:p>
    <w:p w:rsidR="00AE7CD2" w:rsidRDefault="00DF01E8" w:rsidP="006E620B">
      <w:r>
        <w:rPr>
          <w:noProof/>
          <w:lang w:eastAsia="en-AU"/>
        </w:rPr>
        <w:drawing>
          <wp:inline distT="0" distB="0" distL="0" distR="0" wp14:anchorId="33D86764" wp14:editId="5D601041">
            <wp:extent cx="5641675" cy="3019245"/>
            <wp:effectExtent l="0" t="0" r="1651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01E8" w:rsidRDefault="00081885" w:rsidP="00081885">
      <w:pPr>
        <w:pStyle w:val="Heading2"/>
      </w:pPr>
      <w:r>
        <w:lastRenderedPageBreak/>
        <w:t xml:space="preserve">2.3 </w:t>
      </w:r>
      <w:r w:rsidR="00DF01E8">
        <w:t>Cultural background</w:t>
      </w:r>
    </w:p>
    <w:p w:rsidR="00DF01E8" w:rsidRDefault="00D55D8F" w:rsidP="00DF01E8">
      <w:r>
        <w:t>Of all clients receiving advocacy services</w:t>
      </w:r>
      <w:r w:rsidR="00DF01E8">
        <w:t>, on average over a quarter:</w:t>
      </w:r>
    </w:p>
    <w:p w:rsidR="00081885" w:rsidRDefault="00081885" w:rsidP="00081885">
      <w:pPr>
        <w:pStyle w:val="ListParagraph"/>
        <w:numPr>
          <w:ilvl w:val="0"/>
          <w:numId w:val="2"/>
        </w:numPr>
      </w:pPr>
      <w:r>
        <w:t xml:space="preserve">3 per cent </w:t>
      </w:r>
      <w:r w:rsidR="00D55D8F">
        <w:t xml:space="preserve">(24) </w:t>
      </w:r>
      <w:r>
        <w:t xml:space="preserve">were </w:t>
      </w:r>
      <w:r w:rsidR="00D55D8F">
        <w:t xml:space="preserve">recorded as </w:t>
      </w:r>
      <w:r>
        <w:t>Aboriginal</w:t>
      </w:r>
      <w:r w:rsidR="00743C92">
        <w:t xml:space="preserve">; and </w:t>
      </w:r>
    </w:p>
    <w:p w:rsidR="00081885" w:rsidRDefault="00081885" w:rsidP="00081885">
      <w:pPr>
        <w:pStyle w:val="ListParagraph"/>
        <w:numPr>
          <w:ilvl w:val="0"/>
          <w:numId w:val="2"/>
        </w:numPr>
      </w:pPr>
      <w:r>
        <w:t xml:space="preserve">8 per cent </w:t>
      </w:r>
      <w:r w:rsidR="00D55D8F">
        <w:t xml:space="preserve">(59) </w:t>
      </w:r>
      <w:r>
        <w:t>were</w:t>
      </w:r>
      <w:r w:rsidR="00D55D8F">
        <w:t xml:space="preserve"> recorded as</w:t>
      </w:r>
      <w:r>
        <w:t xml:space="preserve"> culturally or linguistically diverse</w:t>
      </w:r>
      <w:r w:rsidR="00925CA0">
        <w:t xml:space="preserve"> (CALD)</w:t>
      </w:r>
      <w:r>
        <w:t>.</w:t>
      </w:r>
    </w:p>
    <w:p w:rsidR="002D3DC4" w:rsidRDefault="00774791" w:rsidP="00081885">
      <w:r>
        <w:t xml:space="preserve">The data provided does not </w:t>
      </w:r>
      <w:r w:rsidR="002D3DC4">
        <w:t>allow us to determine the extent to which organisations did not report the cultural background of their clients. It is possible that the proportion of clients from Aboriginal or CALD backgrounds is much higher than reported here.</w:t>
      </w:r>
    </w:p>
    <w:p w:rsidR="00081885" w:rsidRDefault="00081885" w:rsidP="00081885">
      <w:pPr>
        <w:pStyle w:val="Heading3"/>
      </w:pPr>
      <w:r w:rsidRPr="00081885">
        <w:t xml:space="preserve">Table </w:t>
      </w:r>
      <w:r>
        <w:t>4: Cultural b</w:t>
      </w:r>
      <w:r w:rsidRPr="00081885">
        <w:t>ackground of clients</w:t>
      </w:r>
    </w:p>
    <w:tbl>
      <w:tblPr>
        <w:tblStyle w:val="TableGrid"/>
        <w:tblW w:w="8046" w:type="dxa"/>
        <w:tblLayout w:type="fixed"/>
        <w:tblLook w:val="04A0" w:firstRow="1" w:lastRow="0" w:firstColumn="1" w:lastColumn="0" w:noHBand="0" w:noVBand="1"/>
      </w:tblPr>
      <w:tblGrid>
        <w:gridCol w:w="1363"/>
        <w:gridCol w:w="1580"/>
        <w:gridCol w:w="2410"/>
        <w:gridCol w:w="2693"/>
      </w:tblGrid>
      <w:tr w:rsidR="00081885" w:rsidRPr="006E620B" w:rsidTr="00081885">
        <w:tc>
          <w:tcPr>
            <w:tcW w:w="1363" w:type="dxa"/>
          </w:tcPr>
          <w:p w:rsidR="00081885" w:rsidRPr="006E620B" w:rsidRDefault="00081885" w:rsidP="00081885">
            <w:pPr>
              <w:rPr>
                <w:b/>
              </w:rPr>
            </w:pPr>
            <w:r w:rsidRPr="006E620B">
              <w:rPr>
                <w:b/>
              </w:rPr>
              <w:t>Quarter</w:t>
            </w:r>
          </w:p>
        </w:tc>
        <w:tc>
          <w:tcPr>
            <w:tcW w:w="1580" w:type="dxa"/>
          </w:tcPr>
          <w:p w:rsidR="00081885" w:rsidRPr="006E620B" w:rsidRDefault="00081885" w:rsidP="00081885">
            <w:pPr>
              <w:rPr>
                <w:b/>
              </w:rPr>
            </w:pPr>
            <w:r w:rsidRPr="006E620B">
              <w:rPr>
                <w:b/>
              </w:rPr>
              <w:t>Period</w:t>
            </w:r>
          </w:p>
        </w:tc>
        <w:tc>
          <w:tcPr>
            <w:tcW w:w="2410" w:type="dxa"/>
          </w:tcPr>
          <w:p w:rsidR="00081885" w:rsidRPr="006E620B" w:rsidRDefault="00341164" w:rsidP="00081885">
            <w:pPr>
              <w:rPr>
                <w:b/>
              </w:rPr>
            </w:pPr>
            <w:r>
              <w:rPr>
                <w:b/>
              </w:rPr>
              <w:t>Aboriginal c</w:t>
            </w:r>
            <w:r w:rsidR="00081885">
              <w:rPr>
                <w:b/>
              </w:rPr>
              <w:t>lients</w:t>
            </w:r>
          </w:p>
        </w:tc>
        <w:tc>
          <w:tcPr>
            <w:tcW w:w="2693" w:type="dxa"/>
          </w:tcPr>
          <w:p w:rsidR="00081885" w:rsidRPr="006E620B" w:rsidRDefault="00081885" w:rsidP="00081885">
            <w:pPr>
              <w:rPr>
                <w:b/>
              </w:rPr>
            </w:pPr>
            <w:r>
              <w:rPr>
                <w:b/>
              </w:rPr>
              <w:t>CALD clients</w:t>
            </w:r>
          </w:p>
        </w:tc>
      </w:tr>
      <w:tr w:rsidR="00081885" w:rsidTr="00081885">
        <w:tc>
          <w:tcPr>
            <w:tcW w:w="1363" w:type="dxa"/>
          </w:tcPr>
          <w:p w:rsidR="00081885" w:rsidRDefault="00081885" w:rsidP="00081885">
            <w:r>
              <w:t>1</w:t>
            </w:r>
          </w:p>
        </w:tc>
        <w:tc>
          <w:tcPr>
            <w:tcW w:w="1580" w:type="dxa"/>
          </w:tcPr>
          <w:p w:rsidR="00081885" w:rsidRDefault="00081885" w:rsidP="00081885">
            <w:r>
              <w:t>Jul-Sep 2012</w:t>
            </w:r>
          </w:p>
        </w:tc>
        <w:tc>
          <w:tcPr>
            <w:tcW w:w="2410" w:type="dxa"/>
          </w:tcPr>
          <w:p w:rsidR="00081885" w:rsidRDefault="00081885" w:rsidP="00081885">
            <w:r>
              <w:t>31</w:t>
            </w:r>
          </w:p>
        </w:tc>
        <w:tc>
          <w:tcPr>
            <w:tcW w:w="2693" w:type="dxa"/>
          </w:tcPr>
          <w:p w:rsidR="00081885" w:rsidRDefault="00081885" w:rsidP="00081885">
            <w:r>
              <w:t>36</w:t>
            </w:r>
          </w:p>
        </w:tc>
      </w:tr>
      <w:tr w:rsidR="00081885" w:rsidTr="00081885">
        <w:tc>
          <w:tcPr>
            <w:tcW w:w="1363" w:type="dxa"/>
          </w:tcPr>
          <w:p w:rsidR="00081885" w:rsidRDefault="00081885" w:rsidP="00081885">
            <w:r>
              <w:t>2</w:t>
            </w:r>
          </w:p>
        </w:tc>
        <w:tc>
          <w:tcPr>
            <w:tcW w:w="1580" w:type="dxa"/>
          </w:tcPr>
          <w:p w:rsidR="00081885" w:rsidRDefault="00081885" w:rsidP="00081885">
            <w:r>
              <w:t>Oct-Dec 2012</w:t>
            </w:r>
          </w:p>
        </w:tc>
        <w:tc>
          <w:tcPr>
            <w:tcW w:w="2410" w:type="dxa"/>
          </w:tcPr>
          <w:p w:rsidR="00081885" w:rsidRDefault="00081885" w:rsidP="00081885">
            <w:r>
              <w:t>8</w:t>
            </w:r>
          </w:p>
        </w:tc>
        <w:tc>
          <w:tcPr>
            <w:tcW w:w="2693" w:type="dxa"/>
          </w:tcPr>
          <w:p w:rsidR="00081885" w:rsidRDefault="00081885" w:rsidP="00081885">
            <w:r>
              <w:t>78</w:t>
            </w:r>
          </w:p>
        </w:tc>
      </w:tr>
      <w:tr w:rsidR="00081885" w:rsidTr="00081885">
        <w:tc>
          <w:tcPr>
            <w:tcW w:w="1363" w:type="dxa"/>
            <w:tcBorders>
              <w:bottom w:val="single" w:sz="4" w:space="0" w:color="auto"/>
            </w:tcBorders>
          </w:tcPr>
          <w:p w:rsidR="00081885" w:rsidRDefault="00081885" w:rsidP="00081885">
            <w:r>
              <w:t>3</w:t>
            </w:r>
          </w:p>
        </w:tc>
        <w:tc>
          <w:tcPr>
            <w:tcW w:w="1580" w:type="dxa"/>
            <w:tcBorders>
              <w:bottom w:val="single" w:sz="4" w:space="0" w:color="auto"/>
            </w:tcBorders>
          </w:tcPr>
          <w:p w:rsidR="00081885" w:rsidRDefault="00081885" w:rsidP="00081885">
            <w:r>
              <w:t>Jan-Mar 2013</w:t>
            </w:r>
          </w:p>
        </w:tc>
        <w:tc>
          <w:tcPr>
            <w:tcW w:w="2410" w:type="dxa"/>
            <w:tcBorders>
              <w:bottom w:val="single" w:sz="4" w:space="0" w:color="auto"/>
            </w:tcBorders>
          </w:tcPr>
          <w:p w:rsidR="00081885" w:rsidRDefault="00081885" w:rsidP="00081885">
            <w:r>
              <w:t>41</w:t>
            </w:r>
          </w:p>
        </w:tc>
        <w:tc>
          <w:tcPr>
            <w:tcW w:w="2693" w:type="dxa"/>
            <w:tcBorders>
              <w:bottom w:val="single" w:sz="4" w:space="0" w:color="auto"/>
            </w:tcBorders>
          </w:tcPr>
          <w:p w:rsidR="00081885" w:rsidRDefault="00081885" w:rsidP="00081885">
            <w:r>
              <w:t>76</w:t>
            </w:r>
          </w:p>
        </w:tc>
      </w:tr>
      <w:tr w:rsidR="00081885" w:rsidTr="00081885">
        <w:trPr>
          <w:trHeight w:val="321"/>
        </w:trPr>
        <w:tc>
          <w:tcPr>
            <w:tcW w:w="1363" w:type="dxa"/>
            <w:tcBorders>
              <w:bottom w:val="double" w:sz="4" w:space="0" w:color="auto"/>
            </w:tcBorders>
          </w:tcPr>
          <w:p w:rsidR="00081885" w:rsidRDefault="00081885" w:rsidP="00081885">
            <w:r>
              <w:t>4</w:t>
            </w:r>
          </w:p>
        </w:tc>
        <w:tc>
          <w:tcPr>
            <w:tcW w:w="1580" w:type="dxa"/>
            <w:tcBorders>
              <w:bottom w:val="double" w:sz="4" w:space="0" w:color="auto"/>
            </w:tcBorders>
          </w:tcPr>
          <w:p w:rsidR="00081885" w:rsidRDefault="00081885" w:rsidP="00081885">
            <w:r>
              <w:t>Apr-Jun 2013</w:t>
            </w:r>
          </w:p>
        </w:tc>
        <w:tc>
          <w:tcPr>
            <w:tcW w:w="2410" w:type="dxa"/>
            <w:tcBorders>
              <w:bottom w:val="double" w:sz="4" w:space="0" w:color="auto"/>
            </w:tcBorders>
          </w:tcPr>
          <w:p w:rsidR="00081885" w:rsidRDefault="00081885" w:rsidP="00081885">
            <w:r>
              <w:t>14</w:t>
            </w:r>
          </w:p>
        </w:tc>
        <w:tc>
          <w:tcPr>
            <w:tcW w:w="2693" w:type="dxa"/>
            <w:tcBorders>
              <w:bottom w:val="double" w:sz="4" w:space="0" w:color="auto"/>
            </w:tcBorders>
          </w:tcPr>
          <w:p w:rsidR="00081885" w:rsidRDefault="00081885" w:rsidP="00081885">
            <w:r>
              <w:t>46</w:t>
            </w:r>
          </w:p>
        </w:tc>
      </w:tr>
      <w:tr w:rsidR="00081885" w:rsidTr="00081885">
        <w:tc>
          <w:tcPr>
            <w:tcW w:w="1363" w:type="dxa"/>
            <w:tcBorders>
              <w:top w:val="double" w:sz="4" w:space="0" w:color="auto"/>
            </w:tcBorders>
          </w:tcPr>
          <w:p w:rsidR="00081885" w:rsidRDefault="00081885" w:rsidP="00081885">
            <w:r>
              <w:t>Average per quarter</w:t>
            </w:r>
          </w:p>
        </w:tc>
        <w:tc>
          <w:tcPr>
            <w:tcW w:w="1580" w:type="dxa"/>
            <w:tcBorders>
              <w:top w:val="double" w:sz="4" w:space="0" w:color="auto"/>
            </w:tcBorders>
          </w:tcPr>
          <w:p w:rsidR="00081885" w:rsidRDefault="00081885" w:rsidP="00081885"/>
        </w:tc>
        <w:tc>
          <w:tcPr>
            <w:tcW w:w="2410" w:type="dxa"/>
            <w:tcBorders>
              <w:top w:val="double" w:sz="4" w:space="0" w:color="auto"/>
            </w:tcBorders>
          </w:tcPr>
          <w:p w:rsidR="00081885" w:rsidRDefault="00081885" w:rsidP="00081885"/>
          <w:p w:rsidR="00081885" w:rsidRDefault="00081885" w:rsidP="00081885">
            <w:r>
              <w:t>24</w:t>
            </w:r>
          </w:p>
        </w:tc>
        <w:tc>
          <w:tcPr>
            <w:tcW w:w="2693" w:type="dxa"/>
            <w:tcBorders>
              <w:top w:val="double" w:sz="4" w:space="0" w:color="auto"/>
            </w:tcBorders>
          </w:tcPr>
          <w:p w:rsidR="00081885" w:rsidRDefault="00081885" w:rsidP="00081885"/>
          <w:p w:rsidR="00081885" w:rsidRDefault="00081885" w:rsidP="00081885">
            <w:r>
              <w:t>59</w:t>
            </w:r>
          </w:p>
        </w:tc>
      </w:tr>
    </w:tbl>
    <w:p w:rsidR="00DF01E8" w:rsidRDefault="00726E7B" w:rsidP="00DF01E8">
      <w:pPr>
        <w:rPr>
          <w:sz w:val="18"/>
          <w:szCs w:val="18"/>
        </w:rPr>
      </w:pPr>
      <w:r>
        <w:rPr>
          <w:sz w:val="18"/>
          <w:szCs w:val="18"/>
        </w:rPr>
        <w:t xml:space="preserve">Note: Data cannot be summated </w:t>
      </w:r>
      <w:r w:rsidR="004D5FC9">
        <w:rPr>
          <w:sz w:val="18"/>
          <w:szCs w:val="18"/>
        </w:rPr>
        <w:t xml:space="preserve">to give the number of clients for the year, </w:t>
      </w:r>
      <w:r>
        <w:rPr>
          <w:sz w:val="18"/>
          <w:szCs w:val="18"/>
        </w:rPr>
        <w:t>as clients reported in one quarter may also have been clients in a previous quarter.</w:t>
      </w:r>
    </w:p>
    <w:p w:rsidR="00726E7B" w:rsidRDefault="00726E7B" w:rsidP="00726E7B">
      <w:pPr>
        <w:pStyle w:val="Heading3"/>
      </w:pPr>
      <w:r>
        <w:t>Figure 4: Cultural background of clients, by quarter</w:t>
      </w:r>
    </w:p>
    <w:p w:rsidR="00726E7B" w:rsidRDefault="00726E7B" w:rsidP="00DF01E8">
      <w:r>
        <w:rPr>
          <w:noProof/>
          <w:lang w:eastAsia="en-AU"/>
        </w:rPr>
        <w:drawing>
          <wp:inline distT="0" distB="0" distL="0" distR="0" wp14:anchorId="6BAFB676" wp14:editId="13AE1B46">
            <wp:extent cx="5562600" cy="3910012"/>
            <wp:effectExtent l="0" t="0" r="19050"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6E7B" w:rsidRDefault="00726E7B">
      <w:r>
        <w:br w:type="page"/>
      </w:r>
    </w:p>
    <w:p w:rsidR="00081885" w:rsidRDefault="00726E7B" w:rsidP="00341164">
      <w:pPr>
        <w:pStyle w:val="Heading1"/>
        <w:numPr>
          <w:ilvl w:val="0"/>
          <w:numId w:val="4"/>
        </w:numPr>
      </w:pPr>
      <w:r>
        <w:lastRenderedPageBreak/>
        <w:t xml:space="preserve">Advocacy </w:t>
      </w:r>
      <w:r w:rsidR="004D5FC9">
        <w:t>i</w:t>
      </w:r>
      <w:r>
        <w:t>ssues</w:t>
      </w:r>
    </w:p>
    <w:p w:rsidR="00341164" w:rsidRDefault="00341164" w:rsidP="00D70A32">
      <w:r>
        <w:t xml:space="preserve">The QDC nominates 12 </w:t>
      </w:r>
      <w:r w:rsidR="004D5FC9">
        <w:t>a</w:t>
      </w:r>
      <w:r>
        <w:t>dvocacy topic areas, plus ‘other’, for organisations to record the type of issues their clients are facing.</w:t>
      </w:r>
    </w:p>
    <w:p w:rsidR="00341164" w:rsidRDefault="00341164" w:rsidP="00D70A32">
      <w:r>
        <w:t xml:space="preserve">On average per quarter, education and disability services were the issues that recorded the highest number of people who received advocacy support. However, the </w:t>
      </w:r>
      <w:r w:rsidRPr="00341164">
        <w:t xml:space="preserve">Office for Disability </w:t>
      </w:r>
      <w:r w:rsidR="00482845">
        <w:t>has advised</w:t>
      </w:r>
      <w:r w:rsidRPr="00341164">
        <w:t xml:space="preserve"> that higher numbers for disability services and education reflect the way one organisation interpret</w:t>
      </w:r>
      <w:r w:rsidR="00482845">
        <w:t>ed</w:t>
      </w:r>
      <w:r w:rsidRPr="00341164">
        <w:t xml:space="preserve"> this question in the QDC form</w:t>
      </w:r>
      <w:r>
        <w:t>.</w:t>
      </w:r>
    </w:p>
    <w:p w:rsidR="00D70A32" w:rsidRPr="00D70A32" w:rsidRDefault="00D70A32" w:rsidP="00D70A32">
      <w:pPr>
        <w:pStyle w:val="Heading3"/>
      </w:pPr>
      <w:r>
        <w:t>Table 5: Number of advocacy cases, by issue by quarter</w:t>
      </w:r>
    </w:p>
    <w:tbl>
      <w:tblPr>
        <w:tblStyle w:val="TableGrid"/>
        <w:tblW w:w="0" w:type="auto"/>
        <w:tblLook w:val="04A0" w:firstRow="1" w:lastRow="0" w:firstColumn="1" w:lastColumn="0" w:noHBand="0" w:noVBand="1"/>
      </w:tblPr>
      <w:tblGrid>
        <w:gridCol w:w="2080"/>
        <w:gridCol w:w="960"/>
        <w:gridCol w:w="960"/>
        <w:gridCol w:w="960"/>
        <w:gridCol w:w="960"/>
        <w:gridCol w:w="1180"/>
      </w:tblGrid>
      <w:tr w:rsidR="00D70A32" w:rsidRPr="00D70A32" w:rsidTr="00D70A32">
        <w:trPr>
          <w:trHeight w:val="615"/>
        </w:trPr>
        <w:tc>
          <w:tcPr>
            <w:tcW w:w="2080" w:type="dxa"/>
            <w:noWrap/>
            <w:hideMark/>
          </w:tcPr>
          <w:p w:rsidR="00D70A32" w:rsidRPr="00D70A32" w:rsidRDefault="00D70A32">
            <w:pPr>
              <w:rPr>
                <w:b/>
              </w:rPr>
            </w:pPr>
            <w:r>
              <w:rPr>
                <w:b/>
              </w:rPr>
              <w:t>Issue</w:t>
            </w:r>
          </w:p>
        </w:tc>
        <w:tc>
          <w:tcPr>
            <w:tcW w:w="960" w:type="dxa"/>
            <w:noWrap/>
            <w:hideMark/>
          </w:tcPr>
          <w:p w:rsidR="00D70A32" w:rsidRPr="00D70A32" w:rsidRDefault="00D70A32">
            <w:pPr>
              <w:rPr>
                <w:b/>
              </w:rPr>
            </w:pPr>
            <w:r w:rsidRPr="00D70A32">
              <w:rPr>
                <w:b/>
              </w:rPr>
              <w:t>Q1</w:t>
            </w:r>
          </w:p>
        </w:tc>
        <w:tc>
          <w:tcPr>
            <w:tcW w:w="960" w:type="dxa"/>
            <w:noWrap/>
            <w:hideMark/>
          </w:tcPr>
          <w:p w:rsidR="00D70A32" w:rsidRPr="00D70A32" w:rsidRDefault="00D70A32">
            <w:pPr>
              <w:rPr>
                <w:b/>
              </w:rPr>
            </w:pPr>
            <w:r w:rsidRPr="00D70A32">
              <w:rPr>
                <w:b/>
              </w:rPr>
              <w:t>Q2</w:t>
            </w:r>
          </w:p>
        </w:tc>
        <w:tc>
          <w:tcPr>
            <w:tcW w:w="960" w:type="dxa"/>
            <w:noWrap/>
            <w:hideMark/>
          </w:tcPr>
          <w:p w:rsidR="00D70A32" w:rsidRPr="00D70A32" w:rsidRDefault="00D70A32">
            <w:pPr>
              <w:rPr>
                <w:b/>
              </w:rPr>
            </w:pPr>
            <w:r w:rsidRPr="00D70A32">
              <w:rPr>
                <w:b/>
              </w:rPr>
              <w:t>Q3</w:t>
            </w:r>
          </w:p>
        </w:tc>
        <w:tc>
          <w:tcPr>
            <w:tcW w:w="960" w:type="dxa"/>
            <w:tcBorders>
              <w:right w:val="double" w:sz="4" w:space="0" w:color="auto"/>
            </w:tcBorders>
            <w:noWrap/>
            <w:hideMark/>
          </w:tcPr>
          <w:p w:rsidR="00D70A32" w:rsidRPr="00D70A32" w:rsidRDefault="00D70A32" w:rsidP="00D70A32">
            <w:pPr>
              <w:rPr>
                <w:b/>
              </w:rPr>
            </w:pPr>
            <w:r w:rsidRPr="00D70A32">
              <w:rPr>
                <w:b/>
              </w:rPr>
              <w:t>Q4</w:t>
            </w:r>
          </w:p>
        </w:tc>
        <w:tc>
          <w:tcPr>
            <w:tcW w:w="1180" w:type="dxa"/>
            <w:tcBorders>
              <w:left w:val="double" w:sz="4" w:space="0" w:color="auto"/>
            </w:tcBorders>
            <w:hideMark/>
          </w:tcPr>
          <w:p w:rsidR="00D70A32" w:rsidRPr="00D70A32" w:rsidRDefault="00D70A32" w:rsidP="00D70A32">
            <w:pPr>
              <w:rPr>
                <w:b/>
              </w:rPr>
            </w:pPr>
            <w:r w:rsidRPr="00D70A32">
              <w:rPr>
                <w:b/>
              </w:rPr>
              <w:t>Average per quarter</w:t>
            </w:r>
          </w:p>
        </w:tc>
      </w:tr>
      <w:tr w:rsidR="00D70A32" w:rsidRPr="00D70A32" w:rsidTr="00D70A32">
        <w:trPr>
          <w:trHeight w:val="300"/>
        </w:trPr>
        <w:tc>
          <w:tcPr>
            <w:tcW w:w="2080" w:type="dxa"/>
            <w:hideMark/>
          </w:tcPr>
          <w:p w:rsidR="00D70A32" w:rsidRPr="00D70A32" w:rsidRDefault="00D70A32">
            <w:r w:rsidRPr="00D70A32">
              <w:t>Education</w:t>
            </w:r>
          </w:p>
        </w:tc>
        <w:tc>
          <w:tcPr>
            <w:tcW w:w="960" w:type="dxa"/>
            <w:hideMark/>
          </w:tcPr>
          <w:p w:rsidR="00D70A32" w:rsidRPr="00D70A32" w:rsidRDefault="00D70A32">
            <w:r w:rsidRPr="00D70A32">
              <w:t>201</w:t>
            </w:r>
          </w:p>
        </w:tc>
        <w:tc>
          <w:tcPr>
            <w:tcW w:w="960" w:type="dxa"/>
            <w:hideMark/>
          </w:tcPr>
          <w:p w:rsidR="00D70A32" w:rsidRPr="00D70A32" w:rsidRDefault="00D70A32">
            <w:r w:rsidRPr="00D70A32">
              <w:t>171</w:t>
            </w:r>
          </w:p>
        </w:tc>
        <w:tc>
          <w:tcPr>
            <w:tcW w:w="960" w:type="dxa"/>
            <w:hideMark/>
          </w:tcPr>
          <w:p w:rsidR="00D70A32" w:rsidRPr="00D70A32" w:rsidRDefault="00D70A32">
            <w:r w:rsidRPr="00D70A32">
              <w:t>189</w:t>
            </w:r>
          </w:p>
        </w:tc>
        <w:tc>
          <w:tcPr>
            <w:tcW w:w="960" w:type="dxa"/>
            <w:tcBorders>
              <w:right w:val="double" w:sz="4" w:space="0" w:color="auto"/>
            </w:tcBorders>
            <w:hideMark/>
          </w:tcPr>
          <w:p w:rsidR="00D70A32" w:rsidRPr="00D70A32" w:rsidRDefault="00D70A32" w:rsidP="00D70A32">
            <w:r w:rsidRPr="00D70A32">
              <w:t>234</w:t>
            </w:r>
          </w:p>
        </w:tc>
        <w:tc>
          <w:tcPr>
            <w:tcW w:w="1180" w:type="dxa"/>
            <w:tcBorders>
              <w:left w:val="double" w:sz="4" w:space="0" w:color="auto"/>
            </w:tcBorders>
            <w:noWrap/>
            <w:hideMark/>
          </w:tcPr>
          <w:p w:rsidR="00D70A32" w:rsidRPr="00D70A32" w:rsidRDefault="00D70A32" w:rsidP="00D70A32">
            <w:r w:rsidRPr="00D70A32">
              <w:t>199</w:t>
            </w:r>
          </w:p>
        </w:tc>
      </w:tr>
      <w:tr w:rsidR="00D70A32" w:rsidRPr="00D70A32" w:rsidTr="00D70A32">
        <w:trPr>
          <w:trHeight w:val="300"/>
        </w:trPr>
        <w:tc>
          <w:tcPr>
            <w:tcW w:w="2080" w:type="dxa"/>
            <w:hideMark/>
          </w:tcPr>
          <w:p w:rsidR="00D70A32" w:rsidRPr="00D70A32" w:rsidRDefault="00D70A32">
            <w:r w:rsidRPr="00D70A32">
              <w:t xml:space="preserve">Disability Services </w:t>
            </w:r>
          </w:p>
        </w:tc>
        <w:tc>
          <w:tcPr>
            <w:tcW w:w="960" w:type="dxa"/>
            <w:hideMark/>
          </w:tcPr>
          <w:p w:rsidR="00D70A32" w:rsidRPr="00D70A32" w:rsidRDefault="00D70A32">
            <w:r w:rsidRPr="00D70A32">
              <w:t>155</w:t>
            </w:r>
          </w:p>
        </w:tc>
        <w:tc>
          <w:tcPr>
            <w:tcW w:w="960" w:type="dxa"/>
            <w:hideMark/>
          </w:tcPr>
          <w:p w:rsidR="00D70A32" w:rsidRPr="00D70A32" w:rsidRDefault="00D70A32">
            <w:r w:rsidRPr="00D70A32">
              <w:t>81</w:t>
            </w:r>
          </w:p>
        </w:tc>
        <w:tc>
          <w:tcPr>
            <w:tcW w:w="960" w:type="dxa"/>
            <w:hideMark/>
          </w:tcPr>
          <w:p w:rsidR="00D70A32" w:rsidRPr="00D70A32" w:rsidRDefault="00D70A32">
            <w:r w:rsidRPr="00D70A32">
              <w:t>163</w:t>
            </w:r>
          </w:p>
        </w:tc>
        <w:tc>
          <w:tcPr>
            <w:tcW w:w="960" w:type="dxa"/>
            <w:tcBorders>
              <w:right w:val="double" w:sz="4" w:space="0" w:color="auto"/>
            </w:tcBorders>
            <w:hideMark/>
          </w:tcPr>
          <w:p w:rsidR="00D70A32" w:rsidRPr="00D70A32" w:rsidRDefault="00D70A32" w:rsidP="00D70A32">
            <w:r w:rsidRPr="00D70A32">
              <w:t>133</w:t>
            </w:r>
          </w:p>
        </w:tc>
        <w:tc>
          <w:tcPr>
            <w:tcW w:w="1180" w:type="dxa"/>
            <w:tcBorders>
              <w:left w:val="double" w:sz="4" w:space="0" w:color="auto"/>
            </w:tcBorders>
            <w:noWrap/>
            <w:hideMark/>
          </w:tcPr>
          <w:p w:rsidR="00D70A32" w:rsidRPr="00D70A32" w:rsidRDefault="00D70A32" w:rsidP="00D70A32">
            <w:r w:rsidRPr="00D70A32">
              <w:t>133</w:t>
            </w:r>
          </w:p>
        </w:tc>
      </w:tr>
      <w:tr w:rsidR="00D70A32" w:rsidRPr="00D70A32" w:rsidTr="00D70A32">
        <w:trPr>
          <w:trHeight w:val="300"/>
        </w:trPr>
        <w:tc>
          <w:tcPr>
            <w:tcW w:w="2080" w:type="dxa"/>
            <w:hideMark/>
          </w:tcPr>
          <w:p w:rsidR="00D70A32" w:rsidRPr="00D70A32" w:rsidRDefault="00D70A32">
            <w:r w:rsidRPr="00D70A32">
              <w:t>Accommodation</w:t>
            </w:r>
          </w:p>
        </w:tc>
        <w:tc>
          <w:tcPr>
            <w:tcW w:w="960" w:type="dxa"/>
            <w:hideMark/>
          </w:tcPr>
          <w:p w:rsidR="00D70A32" w:rsidRPr="00D70A32" w:rsidRDefault="00D70A32">
            <w:r w:rsidRPr="00D70A32">
              <w:t>61</w:t>
            </w:r>
          </w:p>
        </w:tc>
        <w:tc>
          <w:tcPr>
            <w:tcW w:w="960" w:type="dxa"/>
            <w:hideMark/>
          </w:tcPr>
          <w:p w:rsidR="00D70A32" w:rsidRPr="00D70A32" w:rsidRDefault="00D70A32">
            <w:r w:rsidRPr="00D70A32">
              <w:t>45</w:t>
            </w:r>
          </w:p>
        </w:tc>
        <w:tc>
          <w:tcPr>
            <w:tcW w:w="960" w:type="dxa"/>
            <w:hideMark/>
          </w:tcPr>
          <w:p w:rsidR="00D70A32" w:rsidRPr="00D70A32" w:rsidRDefault="00D70A32">
            <w:r w:rsidRPr="00D70A32">
              <w:t>67</w:t>
            </w:r>
          </w:p>
        </w:tc>
        <w:tc>
          <w:tcPr>
            <w:tcW w:w="960" w:type="dxa"/>
            <w:tcBorders>
              <w:right w:val="double" w:sz="4" w:space="0" w:color="auto"/>
            </w:tcBorders>
            <w:hideMark/>
          </w:tcPr>
          <w:p w:rsidR="00D70A32" w:rsidRPr="00D70A32" w:rsidRDefault="00D70A32" w:rsidP="00D70A32">
            <w:r w:rsidRPr="00D70A32">
              <w:t>93</w:t>
            </w:r>
          </w:p>
        </w:tc>
        <w:tc>
          <w:tcPr>
            <w:tcW w:w="1180" w:type="dxa"/>
            <w:tcBorders>
              <w:left w:val="double" w:sz="4" w:space="0" w:color="auto"/>
            </w:tcBorders>
            <w:noWrap/>
            <w:hideMark/>
          </w:tcPr>
          <w:p w:rsidR="00D70A32" w:rsidRPr="00D70A32" w:rsidRDefault="00D70A32" w:rsidP="00D70A32">
            <w:r w:rsidRPr="00D70A32">
              <w:t>67</w:t>
            </w:r>
          </w:p>
        </w:tc>
      </w:tr>
      <w:tr w:rsidR="00D70A32" w:rsidRPr="00D70A32" w:rsidTr="00D70A32">
        <w:trPr>
          <w:trHeight w:val="300"/>
        </w:trPr>
        <w:tc>
          <w:tcPr>
            <w:tcW w:w="2080" w:type="dxa"/>
            <w:hideMark/>
          </w:tcPr>
          <w:p w:rsidR="00D70A32" w:rsidRPr="00D70A32" w:rsidRDefault="00D70A32">
            <w:r w:rsidRPr="00D70A32">
              <w:t>Other</w:t>
            </w:r>
          </w:p>
        </w:tc>
        <w:tc>
          <w:tcPr>
            <w:tcW w:w="960" w:type="dxa"/>
            <w:hideMark/>
          </w:tcPr>
          <w:p w:rsidR="00D70A32" w:rsidRPr="00D70A32" w:rsidRDefault="00D70A32">
            <w:r w:rsidRPr="00D70A32">
              <w:t>56</w:t>
            </w:r>
          </w:p>
        </w:tc>
        <w:tc>
          <w:tcPr>
            <w:tcW w:w="960" w:type="dxa"/>
            <w:hideMark/>
          </w:tcPr>
          <w:p w:rsidR="00D70A32" w:rsidRPr="00D70A32" w:rsidRDefault="00D70A32">
            <w:r w:rsidRPr="00D70A32">
              <w:t>47</w:t>
            </w:r>
          </w:p>
        </w:tc>
        <w:tc>
          <w:tcPr>
            <w:tcW w:w="960" w:type="dxa"/>
            <w:hideMark/>
          </w:tcPr>
          <w:p w:rsidR="00D70A32" w:rsidRPr="00D70A32" w:rsidRDefault="00D70A32">
            <w:r w:rsidRPr="00D70A32">
              <w:t>56</w:t>
            </w:r>
          </w:p>
        </w:tc>
        <w:tc>
          <w:tcPr>
            <w:tcW w:w="960" w:type="dxa"/>
            <w:tcBorders>
              <w:right w:val="double" w:sz="4" w:space="0" w:color="auto"/>
            </w:tcBorders>
            <w:hideMark/>
          </w:tcPr>
          <w:p w:rsidR="00D70A32" w:rsidRPr="00D70A32" w:rsidRDefault="00D70A32" w:rsidP="00D70A32">
            <w:r w:rsidRPr="00D70A32">
              <w:t>60</w:t>
            </w:r>
          </w:p>
        </w:tc>
        <w:tc>
          <w:tcPr>
            <w:tcW w:w="1180" w:type="dxa"/>
            <w:tcBorders>
              <w:left w:val="double" w:sz="4" w:space="0" w:color="auto"/>
            </w:tcBorders>
            <w:noWrap/>
            <w:hideMark/>
          </w:tcPr>
          <w:p w:rsidR="00D70A32" w:rsidRPr="00D70A32" w:rsidRDefault="00D70A32" w:rsidP="00D70A32">
            <w:r w:rsidRPr="00D70A32">
              <w:t>55</w:t>
            </w:r>
          </w:p>
        </w:tc>
      </w:tr>
      <w:tr w:rsidR="00D70A32" w:rsidRPr="00D70A32" w:rsidTr="00D70A32">
        <w:trPr>
          <w:trHeight w:val="300"/>
        </w:trPr>
        <w:tc>
          <w:tcPr>
            <w:tcW w:w="2080" w:type="dxa"/>
            <w:hideMark/>
          </w:tcPr>
          <w:p w:rsidR="00D70A32" w:rsidRPr="00D70A32" w:rsidRDefault="00D70A32">
            <w:r w:rsidRPr="00D70A32">
              <w:t>Health</w:t>
            </w:r>
          </w:p>
        </w:tc>
        <w:tc>
          <w:tcPr>
            <w:tcW w:w="960" w:type="dxa"/>
            <w:hideMark/>
          </w:tcPr>
          <w:p w:rsidR="00D70A32" w:rsidRPr="00D70A32" w:rsidRDefault="00D70A32">
            <w:r w:rsidRPr="00D70A32">
              <w:t>51</w:t>
            </w:r>
          </w:p>
        </w:tc>
        <w:tc>
          <w:tcPr>
            <w:tcW w:w="960" w:type="dxa"/>
            <w:hideMark/>
          </w:tcPr>
          <w:p w:rsidR="00D70A32" w:rsidRPr="00D70A32" w:rsidRDefault="00D70A32">
            <w:r w:rsidRPr="00D70A32">
              <w:t>48</w:t>
            </w:r>
          </w:p>
        </w:tc>
        <w:tc>
          <w:tcPr>
            <w:tcW w:w="960" w:type="dxa"/>
            <w:hideMark/>
          </w:tcPr>
          <w:p w:rsidR="00D70A32" w:rsidRPr="00D70A32" w:rsidRDefault="00D70A32">
            <w:r w:rsidRPr="00D70A32">
              <w:t>62</w:t>
            </w:r>
          </w:p>
        </w:tc>
        <w:tc>
          <w:tcPr>
            <w:tcW w:w="960" w:type="dxa"/>
            <w:tcBorders>
              <w:right w:val="double" w:sz="4" w:space="0" w:color="auto"/>
            </w:tcBorders>
            <w:hideMark/>
          </w:tcPr>
          <w:p w:rsidR="00D70A32" w:rsidRPr="00D70A32" w:rsidRDefault="00D70A32" w:rsidP="00D70A32">
            <w:r w:rsidRPr="00D70A32">
              <w:t>49</w:t>
            </w:r>
          </w:p>
        </w:tc>
        <w:tc>
          <w:tcPr>
            <w:tcW w:w="1180" w:type="dxa"/>
            <w:tcBorders>
              <w:left w:val="double" w:sz="4" w:space="0" w:color="auto"/>
            </w:tcBorders>
            <w:noWrap/>
            <w:hideMark/>
          </w:tcPr>
          <w:p w:rsidR="00D70A32" w:rsidRPr="00D70A32" w:rsidRDefault="00D70A32" w:rsidP="00D70A32">
            <w:r w:rsidRPr="00D70A32">
              <w:t>53</w:t>
            </w:r>
          </w:p>
        </w:tc>
      </w:tr>
      <w:tr w:rsidR="00D70A32" w:rsidRPr="00D70A32" w:rsidTr="00D70A32">
        <w:trPr>
          <w:trHeight w:val="300"/>
        </w:trPr>
        <w:tc>
          <w:tcPr>
            <w:tcW w:w="2080" w:type="dxa"/>
            <w:hideMark/>
          </w:tcPr>
          <w:p w:rsidR="00D70A32" w:rsidRPr="00D70A32" w:rsidRDefault="00D70A32">
            <w:r w:rsidRPr="00D70A32">
              <w:t xml:space="preserve">Family </w:t>
            </w:r>
          </w:p>
        </w:tc>
        <w:tc>
          <w:tcPr>
            <w:tcW w:w="960" w:type="dxa"/>
            <w:hideMark/>
          </w:tcPr>
          <w:p w:rsidR="00D70A32" w:rsidRPr="00D70A32" w:rsidRDefault="00D70A32">
            <w:r w:rsidRPr="00D70A32">
              <w:t>58</w:t>
            </w:r>
          </w:p>
        </w:tc>
        <w:tc>
          <w:tcPr>
            <w:tcW w:w="960" w:type="dxa"/>
            <w:hideMark/>
          </w:tcPr>
          <w:p w:rsidR="00D70A32" w:rsidRPr="00D70A32" w:rsidRDefault="00D70A32">
            <w:r w:rsidRPr="00D70A32">
              <w:t>42</w:t>
            </w:r>
          </w:p>
        </w:tc>
        <w:tc>
          <w:tcPr>
            <w:tcW w:w="960" w:type="dxa"/>
            <w:hideMark/>
          </w:tcPr>
          <w:p w:rsidR="00D70A32" w:rsidRPr="00D70A32" w:rsidRDefault="00D70A32">
            <w:r w:rsidRPr="00D70A32">
              <w:t>54</w:t>
            </w:r>
          </w:p>
        </w:tc>
        <w:tc>
          <w:tcPr>
            <w:tcW w:w="960" w:type="dxa"/>
            <w:tcBorders>
              <w:right w:val="double" w:sz="4" w:space="0" w:color="auto"/>
            </w:tcBorders>
            <w:hideMark/>
          </w:tcPr>
          <w:p w:rsidR="00D70A32" w:rsidRPr="00D70A32" w:rsidRDefault="00D70A32" w:rsidP="00D70A32">
            <w:r w:rsidRPr="00D70A32">
              <w:t>46</w:t>
            </w:r>
          </w:p>
        </w:tc>
        <w:tc>
          <w:tcPr>
            <w:tcW w:w="1180" w:type="dxa"/>
            <w:tcBorders>
              <w:left w:val="double" w:sz="4" w:space="0" w:color="auto"/>
            </w:tcBorders>
            <w:noWrap/>
            <w:hideMark/>
          </w:tcPr>
          <w:p w:rsidR="00D70A32" w:rsidRPr="00D70A32" w:rsidRDefault="00D70A32" w:rsidP="00D70A32">
            <w:r w:rsidRPr="00D70A32">
              <w:t>50</w:t>
            </w:r>
          </w:p>
        </w:tc>
      </w:tr>
      <w:tr w:rsidR="00D70A32" w:rsidRPr="00D70A32" w:rsidTr="00D70A32">
        <w:trPr>
          <w:trHeight w:val="300"/>
        </w:trPr>
        <w:tc>
          <w:tcPr>
            <w:tcW w:w="2080" w:type="dxa"/>
            <w:hideMark/>
          </w:tcPr>
          <w:p w:rsidR="00D70A32" w:rsidRPr="00D70A32" w:rsidRDefault="00D70A32">
            <w:r w:rsidRPr="00D70A32">
              <w:t>Legal</w:t>
            </w:r>
          </w:p>
        </w:tc>
        <w:tc>
          <w:tcPr>
            <w:tcW w:w="960" w:type="dxa"/>
            <w:hideMark/>
          </w:tcPr>
          <w:p w:rsidR="00D70A32" w:rsidRPr="00D70A32" w:rsidRDefault="00D70A32">
            <w:r w:rsidRPr="00D70A32">
              <w:t>44</w:t>
            </w:r>
          </w:p>
        </w:tc>
        <w:tc>
          <w:tcPr>
            <w:tcW w:w="960" w:type="dxa"/>
            <w:hideMark/>
          </w:tcPr>
          <w:p w:rsidR="00D70A32" w:rsidRPr="00D70A32" w:rsidRDefault="00D70A32">
            <w:r w:rsidRPr="00D70A32">
              <w:t>27</w:t>
            </w:r>
          </w:p>
        </w:tc>
        <w:tc>
          <w:tcPr>
            <w:tcW w:w="960" w:type="dxa"/>
            <w:hideMark/>
          </w:tcPr>
          <w:p w:rsidR="00D70A32" w:rsidRPr="00D70A32" w:rsidRDefault="00D70A32">
            <w:r w:rsidRPr="00D70A32">
              <w:t>38</w:t>
            </w:r>
          </w:p>
        </w:tc>
        <w:tc>
          <w:tcPr>
            <w:tcW w:w="960" w:type="dxa"/>
            <w:tcBorders>
              <w:right w:val="double" w:sz="4" w:space="0" w:color="auto"/>
            </w:tcBorders>
            <w:hideMark/>
          </w:tcPr>
          <w:p w:rsidR="00D70A32" w:rsidRPr="00D70A32" w:rsidRDefault="00D70A32" w:rsidP="00D70A32">
            <w:r w:rsidRPr="00D70A32">
              <w:t>35</w:t>
            </w:r>
          </w:p>
        </w:tc>
        <w:tc>
          <w:tcPr>
            <w:tcW w:w="1180" w:type="dxa"/>
            <w:tcBorders>
              <w:left w:val="double" w:sz="4" w:space="0" w:color="auto"/>
            </w:tcBorders>
            <w:noWrap/>
            <w:hideMark/>
          </w:tcPr>
          <w:p w:rsidR="00D70A32" w:rsidRPr="00D70A32" w:rsidRDefault="00D70A32" w:rsidP="00D70A32">
            <w:r w:rsidRPr="00D70A32">
              <w:t>36</w:t>
            </w:r>
          </w:p>
        </w:tc>
      </w:tr>
      <w:tr w:rsidR="00D70A32" w:rsidRPr="00D70A32" w:rsidTr="00D70A32">
        <w:trPr>
          <w:trHeight w:val="300"/>
        </w:trPr>
        <w:tc>
          <w:tcPr>
            <w:tcW w:w="2080" w:type="dxa"/>
            <w:hideMark/>
          </w:tcPr>
          <w:p w:rsidR="00D70A32" w:rsidRPr="00D70A32" w:rsidRDefault="00D70A32">
            <w:r w:rsidRPr="00D70A32">
              <w:t>Abuse and Neglect</w:t>
            </w:r>
          </w:p>
        </w:tc>
        <w:tc>
          <w:tcPr>
            <w:tcW w:w="960" w:type="dxa"/>
            <w:hideMark/>
          </w:tcPr>
          <w:p w:rsidR="00D70A32" w:rsidRPr="00D70A32" w:rsidRDefault="00D70A32">
            <w:r w:rsidRPr="00D70A32">
              <w:t>53</w:t>
            </w:r>
          </w:p>
        </w:tc>
        <w:tc>
          <w:tcPr>
            <w:tcW w:w="960" w:type="dxa"/>
            <w:hideMark/>
          </w:tcPr>
          <w:p w:rsidR="00D70A32" w:rsidRPr="00D70A32" w:rsidRDefault="00D70A32">
            <w:r w:rsidRPr="00D70A32">
              <w:t>32</w:t>
            </w:r>
          </w:p>
        </w:tc>
        <w:tc>
          <w:tcPr>
            <w:tcW w:w="960" w:type="dxa"/>
            <w:hideMark/>
          </w:tcPr>
          <w:p w:rsidR="00D70A32" w:rsidRPr="00D70A32" w:rsidRDefault="00D70A32">
            <w:r w:rsidRPr="00D70A32">
              <w:t>32</w:t>
            </w:r>
          </w:p>
        </w:tc>
        <w:tc>
          <w:tcPr>
            <w:tcW w:w="960" w:type="dxa"/>
            <w:tcBorders>
              <w:right w:val="double" w:sz="4" w:space="0" w:color="auto"/>
            </w:tcBorders>
            <w:hideMark/>
          </w:tcPr>
          <w:p w:rsidR="00D70A32" w:rsidRPr="00D70A32" w:rsidRDefault="00D70A32" w:rsidP="00D70A32">
            <w:r w:rsidRPr="00D70A32">
              <w:t>22</w:t>
            </w:r>
          </w:p>
        </w:tc>
        <w:tc>
          <w:tcPr>
            <w:tcW w:w="1180" w:type="dxa"/>
            <w:tcBorders>
              <w:left w:val="double" w:sz="4" w:space="0" w:color="auto"/>
            </w:tcBorders>
            <w:noWrap/>
            <w:hideMark/>
          </w:tcPr>
          <w:p w:rsidR="00D70A32" w:rsidRPr="00D70A32" w:rsidRDefault="00D70A32" w:rsidP="00D70A32">
            <w:r w:rsidRPr="00D70A32">
              <w:t>35</w:t>
            </w:r>
          </w:p>
        </w:tc>
      </w:tr>
      <w:tr w:rsidR="00D70A32" w:rsidRPr="00D70A32" w:rsidTr="00D70A32">
        <w:trPr>
          <w:trHeight w:val="300"/>
        </w:trPr>
        <w:tc>
          <w:tcPr>
            <w:tcW w:w="2080" w:type="dxa"/>
            <w:hideMark/>
          </w:tcPr>
          <w:p w:rsidR="00D70A32" w:rsidRPr="00D70A32" w:rsidRDefault="00D70A32">
            <w:r w:rsidRPr="00D70A32">
              <w:t>Leisure and Recreation</w:t>
            </w:r>
          </w:p>
        </w:tc>
        <w:tc>
          <w:tcPr>
            <w:tcW w:w="960" w:type="dxa"/>
            <w:hideMark/>
          </w:tcPr>
          <w:p w:rsidR="00D70A32" w:rsidRPr="00D70A32" w:rsidRDefault="00D70A32">
            <w:r w:rsidRPr="00D70A32">
              <w:t>19</w:t>
            </w:r>
          </w:p>
        </w:tc>
        <w:tc>
          <w:tcPr>
            <w:tcW w:w="960" w:type="dxa"/>
            <w:hideMark/>
          </w:tcPr>
          <w:p w:rsidR="00D70A32" w:rsidRPr="00D70A32" w:rsidRDefault="00D70A32">
            <w:r w:rsidRPr="00D70A32">
              <w:t>32</w:t>
            </w:r>
          </w:p>
        </w:tc>
        <w:tc>
          <w:tcPr>
            <w:tcW w:w="960" w:type="dxa"/>
            <w:hideMark/>
          </w:tcPr>
          <w:p w:rsidR="00D70A32" w:rsidRPr="00D70A32" w:rsidRDefault="00D70A32">
            <w:r w:rsidRPr="00D70A32">
              <w:t>15</w:t>
            </w:r>
          </w:p>
        </w:tc>
        <w:tc>
          <w:tcPr>
            <w:tcW w:w="960" w:type="dxa"/>
            <w:tcBorders>
              <w:right w:val="double" w:sz="4" w:space="0" w:color="auto"/>
            </w:tcBorders>
            <w:hideMark/>
          </w:tcPr>
          <w:p w:rsidR="00D70A32" w:rsidRPr="00D70A32" w:rsidRDefault="00D70A32" w:rsidP="00D70A32">
            <w:r w:rsidRPr="00D70A32">
              <w:t>23</w:t>
            </w:r>
          </w:p>
        </w:tc>
        <w:tc>
          <w:tcPr>
            <w:tcW w:w="1180" w:type="dxa"/>
            <w:tcBorders>
              <w:left w:val="double" w:sz="4" w:space="0" w:color="auto"/>
            </w:tcBorders>
            <w:noWrap/>
            <w:hideMark/>
          </w:tcPr>
          <w:p w:rsidR="00D70A32" w:rsidRPr="00D70A32" w:rsidRDefault="00D70A32" w:rsidP="00D70A32">
            <w:r w:rsidRPr="00D70A32">
              <w:t>22</w:t>
            </w:r>
          </w:p>
        </w:tc>
      </w:tr>
      <w:tr w:rsidR="00D70A32" w:rsidRPr="00D70A32" w:rsidTr="00D70A32">
        <w:trPr>
          <w:trHeight w:val="300"/>
        </w:trPr>
        <w:tc>
          <w:tcPr>
            <w:tcW w:w="2080" w:type="dxa"/>
            <w:hideMark/>
          </w:tcPr>
          <w:p w:rsidR="00D70A32" w:rsidRPr="00D70A32" w:rsidRDefault="00D70A32">
            <w:r w:rsidRPr="00D70A32">
              <w:t>Transport</w:t>
            </w:r>
          </w:p>
        </w:tc>
        <w:tc>
          <w:tcPr>
            <w:tcW w:w="960" w:type="dxa"/>
            <w:hideMark/>
          </w:tcPr>
          <w:p w:rsidR="00D70A32" w:rsidRPr="00D70A32" w:rsidRDefault="00D70A32">
            <w:r w:rsidRPr="00D70A32">
              <w:t>28</w:t>
            </w:r>
          </w:p>
        </w:tc>
        <w:tc>
          <w:tcPr>
            <w:tcW w:w="960" w:type="dxa"/>
            <w:hideMark/>
          </w:tcPr>
          <w:p w:rsidR="00D70A32" w:rsidRPr="00D70A32" w:rsidRDefault="00D70A32">
            <w:r w:rsidRPr="00D70A32">
              <w:t>22</w:t>
            </w:r>
          </w:p>
        </w:tc>
        <w:tc>
          <w:tcPr>
            <w:tcW w:w="960" w:type="dxa"/>
            <w:hideMark/>
          </w:tcPr>
          <w:p w:rsidR="00D70A32" w:rsidRPr="00D70A32" w:rsidRDefault="00D70A32">
            <w:r w:rsidRPr="00D70A32">
              <w:t>21</w:t>
            </w:r>
          </w:p>
        </w:tc>
        <w:tc>
          <w:tcPr>
            <w:tcW w:w="960" w:type="dxa"/>
            <w:tcBorders>
              <w:right w:val="double" w:sz="4" w:space="0" w:color="auto"/>
            </w:tcBorders>
            <w:hideMark/>
          </w:tcPr>
          <w:p w:rsidR="00D70A32" w:rsidRPr="00D70A32" w:rsidRDefault="00D70A32" w:rsidP="00D70A32">
            <w:r w:rsidRPr="00D70A32">
              <w:t>14</w:t>
            </w:r>
          </w:p>
        </w:tc>
        <w:tc>
          <w:tcPr>
            <w:tcW w:w="1180" w:type="dxa"/>
            <w:tcBorders>
              <w:left w:val="double" w:sz="4" w:space="0" w:color="auto"/>
            </w:tcBorders>
            <w:noWrap/>
            <w:hideMark/>
          </w:tcPr>
          <w:p w:rsidR="00D70A32" w:rsidRPr="00D70A32" w:rsidRDefault="00D70A32" w:rsidP="00D70A32">
            <w:r w:rsidRPr="00D70A32">
              <w:t>21</w:t>
            </w:r>
          </w:p>
        </w:tc>
      </w:tr>
      <w:tr w:rsidR="00D70A32" w:rsidRPr="00D70A32" w:rsidTr="00D70A32">
        <w:trPr>
          <w:trHeight w:val="300"/>
        </w:trPr>
        <w:tc>
          <w:tcPr>
            <w:tcW w:w="2080" w:type="dxa"/>
            <w:hideMark/>
          </w:tcPr>
          <w:p w:rsidR="00D70A32" w:rsidRPr="00D70A32" w:rsidRDefault="00D70A32">
            <w:r w:rsidRPr="00D70A32">
              <w:t xml:space="preserve">Employment </w:t>
            </w:r>
          </w:p>
        </w:tc>
        <w:tc>
          <w:tcPr>
            <w:tcW w:w="960" w:type="dxa"/>
            <w:hideMark/>
          </w:tcPr>
          <w:p w:rsidR="00D70A32" w:rsidRPr="00D70A32" w:rsidRDefault="00D70A32">
            <w:r w:rsidRPr="00D70A32">
              <w:t>23</w:t>
            </w:r>
          </w:p>
        </w:tc>
        <w:tc>
          <w:tcPr>
            <w:tcW w:w="960" w:type="dxa"/>
            <w:hideMark/>
          </w:tcPr>
          <w:p w:rsidR="00D70A32" w:rsidRPr="00D70A32" w:rsidRDefault="00D70A32">
            <w:r w:rsidRPr="00D70A32">
              <w:t>8</w:t>
            </w:r>
          </w:p>
        </w:tc>
        <w:tc>
          <w:tcPr>
            <w:tcW w:w="960" w:type="dxa"/>
            <w:hideMark/>
          </w:tcPr>
          <w:p w:rsidR="00D70A32" w:rsidRPr="00D70A32" w:rsidRDefault="00D70A32">
            <w:r w:rsidRPr="00D70A32">
              <w:t>26</w:t>
            </w:r>
          </w:p>
        </w:tc>
        <w:tc>
          <w:tcPr>
            <w:tcW w:w="960" w:type="dxa"/>
            <w:tcBorders>
              <w:right w:val="double" w:sz="4" w:space="0" w:color="auto"/>
            </w:tcBorders>
            <w:hideMark/>
          </w:tcPr>
          <w:p w:rsidR="00D70A32" w:rsidRPr="00D70A32" w:rsidRDefault="00D70A32" w:rsidP="00D70A32">
            <w:r w:rsidRPr="00D70A32">
              <w:t>24</w:t>
            </w:r>
          </w:p>
        </w:tc>
        <w:tc>
          <w:tcPr>
            <w:tcW w:w="1180" w:type="dxa"/>
            <w:tcBorders>
              <w:left w:val="double" w:sz="4" w:space="0" w:color="auto"/>
            </w:tcBorders>
            <w:noWrap/>
            <w:hideMark/>
          </w:tcPr>
          <w:p w:rsidR="00D70A32" w:rsidRPr="00D70A32" w:rsidRDefault="00D70A32" w:rsidP="00D70A32">
            <w:r w:rsidRPr="00D70A32">
              <w:t>20</w:t>
            </w:r>
          </w:p>
        </w:tc>
      </w:tr>
      <w:tr w:rsidR="00D70A32" w:rsidRPr="00D70A32" w:rsidTr="00D70A32">
        <w:trPr>
          <w:trHeight w:val="300"/>
        </w:trPr>
        <w:tc>
          <w:tcPr>
            <w:tcW w:w="2080" w:type="dxa"/>
            <w:hideMark/>
          </w:tcPr>
          <w:p w:rsidR="00D70A32" w:rsidRPr="00D70A32" w:rsidRDefault="00D70A32">
            <w:r w:rsidRPr="00D70A32">
              <w:t>Built Environment</w:t>
            </w:r>
          </w:p>
        </w:tc>
        <w:tc>
          <w:tcPr>
            <w:tcW w:w="960" w:type="dxa"/>
            <w:hideMark/>
          </w:tcPr>
          <w:p w:rsidR="00D70A32" w:rsidRPr="00D70A32" w:rsidRDefault="00D70A32">
            <w:r w:rsidRPr="00D70A32">
              <w:t>6</w:t>
            </w:r>
          </w:p>
        </w:tc>
        <w:tc>
          <w:tcPr>
            <w:tcW w:w="960" w:type="dxa"/>
            <w:hideMark/>
          </w:tcPr>
          <w:p w:rsidR="00D70A32" w:rsidRPr="00D70A32" w:rsidRDefault="00D70A32">
            <w:r w:rsidRPr="00D70A32">
              <w:t>9</w:t>
            </w:r>
          </w:p>
        </w:tc>
        <w:tc>
          <w:tcPr>
            <w:tcW w:w="960" w:type="dxa"/>
            <w:hideMark/>
          </w:tcPr>
          <w:p w:rsidR="00D70A32" w:rsidRPr="00D70A32" w:rsidRDefault="00D70A32">
            <w:r w:rsidRPr="00D70A32">
              <w:t>16</w:t>
            </w:r>
          </w:p>
        </w:tc>
        <w:tc>
          <w:tcPr>
            <w:tcW w:w="960" w:type="dxa"/>
            <w:tcBorders>
              <w:right w:val="double" w:sz="4" w:space="0" w:color="auto"/>
            </w:tcBorders>
            <w:hideMark/>
          </w:tcPr>
          <w:p w:rsidR="00D70A32" w:rsidRPr="00D70A32" w:rsidRDefault="00D70A32" w:rsidP="00D70A32">
            <w:r w:rsidRPr="00D70A32">
              <w:t>13</w:t>
            </w:r>
          </w:p>
        </w:tc>
        <w:tc>
          <w:tcPr>
            <w:tcW w:w="1180" w:type="dxa"/>
            <w:tcBorders>
              <w:left w:val="double" w:sz="4" w:space="0" w:color="auto"/>
            </w:tcBorders>
            <w:noWrap/>
            <w:hideMark/>
          </w:tcPr>
          <w:p w:rsidR="00D70A32" w:rsidRPr="00D70A32" w:rsidRDefault="00D70A32" w:rsidP="00D70A32">
            <w:r w:rsidRPr="00D70A32">
              <w:t>11</w:t>
            </w:r>
          </w:p>
        </w:tc>
      </w:tr>
      <w:tr w:rsidR="00D70A32" w:rsidRPr="00D70A32" w:rsidTr="00D70A32">
        <w:trPr>
          <w:trHeight w:val="300"/>
        </w:trPr>
        <w:tc>
          <w:tcPr>
            <w:tcW w:w="2080" w:type="dxa"/>
            <w:hideMark/>
          </w:tcPr>
          <w:p w:rsidR="00D70A32" w:rsidRPr="00D70A32" w:rsidRDefault="00D70A32">
            <w:r w:rsidRPr="00D70A32">
              <w:t>Gender</w:t>
            </w:r>
          </w:p>
        </w:tc>
        <w:tc>
          <w:tcPr>
            <w:tcW w:w="960" w:type="dxa"/>
            <w:hideMark/>
          </w:tcPr>
          <w:p w:rsidR="00D70A32" w:rsidRPr="00D70A32" w:rsidRDefault="00D70A32">
            <w:r w:rsidRPr="00D70A32">
              <w:t>4</w:t>
            </w:r>
          </w:p>
        </w:tc>
        <w:tc>
          <w:tcPr>
            <w:tcW w:w="960" w:type="dxa"/>
            <w:hideMark/>
          </w:tcPr>
          <w:p w:rsidR="00D70A32" w:rsidRPr="00D70A32" w:rsidRDefault="00D70A32">
            <w:r w:rsidRPr="00D70A32">
              <w:t>0</w:t>
            </w:r>
          </w:p>
        </w:tc>
        <w:tc>
          <w:tcPr>
            <w:tcW w:w="960" w:type="dxa"/>
            <w:hideMark/>
          </w:tcPr>
          <w:p w:rsidR="00D70A32" w:rsidRPr="00D70A32" w:rsidRDefault="00D70A32">
            <w:r w:rsidRPr="00D70A32">
              <w:t>0</w:t>
            </w:r>
          </w:p>
        </w:tc>
        <w:tc>
          <w:tcPr>
            <w:tcW w:w="960" w:type="dxa"/>
            <w:tcBorders>
              <w:right w:val="double" w:sz="4" w:space="0" w:color="auto"/>
            </w:tcBorders>
            <w:hideMark/>
          </w:tcPr>
          <w:p w:rsidR="00D70A32" w:rsidRPr="00D70A32" w:rsidRDefault="00D70A32" w:rsidP="00D70A32">
            <w:r w:rsidRPr="00D70A32">
              <w:t>0</w:t>
            </w:r>
          </w:p>
        </w:tc>
        <w:tc>
          <w:tcPr>
            <w:tcW w:w="1180" w:type="dxa"/>
            <w:tcBorders>
              <w:left w:val="double" w:sz="4" w:space="0" w:color="auto"/>
            </w:tcBorders>
            <w:noWrap/>
            <w:hideMark/>
          </w:tcPr>
          <w:p w:rsidR="00D70A32" w:rsidRPr="00D70A32" w:rsidRDefault="00D70A32" w:rsidP="00D70A32">
            <w:r w:rsidRPr="00D70A32">
              <w:t>1</w:t>
            </w:r>
          </w:p>
        </w:tc>
      </w:tr>
    </w:tbl>
    <w:p w:rsidR="00341164" w:rsidRPr="00D02181" w:rsidRDefault="00D70A32" w:rsidP="00341164">
      <w:pPr>
        <w:rPr>
          <w:sz w:val="18"/>
          <w:szCs w:val="18"/>
        </w:rPr>
      </w:pPr>
      <w:r w:rsidRPr="00D70A32">
        <w:rPr>
          <w:sz w:val="18"/>
          <w:szCs w:val="18"/>
        </w:rPr>
        <w:t xml:space="preserve">Note: </w:t>
      </w:r>
      <w:r>
        <w:rPr>
          <w:sz w:val="18"/>
          <w:szCs w:val="18"/>
        </w:rPr>
        <w:t>The Office for Disability</w:t>
      </w:r>
      <w:r w:rsidRPr="00D70A32">
        <w:rPr>
          <w:sz w:val="18"/>
          <w:szCs w:val="18"/>
        </w:rPr>
        <w:t xml:space="preserve"> </w:t>
      </w:r>
      <w:r w:rsidR="00482845">
        <w:rPr>
          <w:sz w:val="18"/>
          <w:szCs w:val="18"/>
        </w:rPr>
        <w:t>has advised</w:t>
      </w:r>
      <w:r w:rsidRPr="00D70A32">
        <w:rPr>
          <w:sz w:val="18"/>
          <w:szCs w:val="18"/>
        </w:rPr>
        <w:t xml:space="preserve"> that higher numbers for disability services and ed</w:t>
      </w:r>
      <w:r>
        <w:rPr>
          <w:sz w:val="18"/>
          <w:szCs w:val="18"/>
        </w:rPr>
        <w:t xml:space="preserve">ucation reflect </w:t>
      </w:r>
      <w:r w:rsidRPr="00D70A32">
        <w:rPr>
          <w:sz w:val="18"/>
          <w:szCs w:val="18"/>
        </w:rPr>
        <w:t>the way one organisation interpret</w:t>
      </w:r>
      <w:r w:rsidR="00482845">
        <w:rPr>
          <w:sz w:val="18"/>
          <w:szCs w:val="18"/>
        </w:rPr>
        <w:t>ed</w:t>
      </w:r>
      <w:r w:rsidRPr="00D70A32">
        <w:rPr>
          <w:sz w:val="18"/>
          <w:szCs w:val="18"/>
        </w:rPr>
        <w:t xml:space="preserve"> this question in the QDC form.</w:t>
      </w:r>
      <w:r>
        <w:rPr>
          <w:sz w:val="18"/>
          <w:szCs w:val="18"/>
        </w:rPr>
        <w:t xml:space="preserve"> Data cannot be summated </w:t>
      </w:r>
      <w:r w:rsidR="004D5FC9">
        <w:rPr>
          <w:sz w:val="18"/>
          <w:szCs w:val="18"/>
        </w:rPr>
        <w:t xml:space="preserve">to give annual tallies, </w:t>
      </w:r>
      <w:r>
        <w:rPr>
          <w:sz w:val="18"/>
          <w:szCs w:val="18"/>
        </w:rPr>
        <w:t>as a case in one quarter may have also been</w:t>
      </w:r>
      <w:r w:rsidR="00D02181">
        <w:rPr>
          <w:sz w:val="18"/>
          <w:szCs w:val="18"/>
        </w:rPr>
        <w:t xml:space="preserve"> reported in a previous quarter, and some cases may involve more than one topic of advocacy.</w:t>
      </w:r>
    </w:p>
    <w:p w:rsidR="00D02181" w:rsidRDefault="00341164" w:rsidP="00341164">
      <w:pPr>
        <w:rPr>
          <w:rFonts w:cs="Arial"/>
        </w:rPr>
      </w:pPr>
      <w:r>
        <w:t xml:space="preserve">The QDC also collects case studies that illustrate the work of disability advocacy. These have been adapted for incorporation in this report, on each of the topic areas. </w:t>
      </w:r>
      <w:r w:rsidR="00777D4F">
        <w:t>The case study topic areas have been aligned</w:t>
      </w:r>
      <w:r>
        <w:t xml:space="preserve"> with the relevant</w:t>
      </w:r>
      <w:r w:rsidR="00D02181">
        <w:t xml:space="preserve"> sections of the </w:t>
      </w:r>
      <w:r w:rsidR="00D02181" w:rsidRPr="00D02181">
        <w:t>United Nations Convention on the Rights of Persons with a Disability</w:t>
      </w:r>
      <w:r w:rsidR="00777D4F">
        <w:t>,</w:t>
      </w:r>
      <w:r w:rsidR="00D02181">
        <w:t xml:space="preserve"> the </w:t>
      </w:r>
      <w:r w:rsidR="00D02181" w:rsidRPr="00C610AD">
        <w:rPr>
          <w:rFonts w:cs="Arial"/>
        </w:rPr>
        <w:t xml:space="preserve">Victorian Charter of Human </w:t>
      </w:r>
      <w:r w:rsidR="00777D4F">
        <w:rPr>
          <w:rFonts w:cs="Arial"/>
        </w:rPr>
        <w:t>R</w:t>
      </w:r>
      <w:r w:rsidR="00D02181" w:rsidRPr="00C610AD">
        <w:rPr>
          <w:rFonts w:cs="Arial"/>
        </w:rPr>
        <w:t>ights and Responsibilities</w:t>
      </w:r>
      <w:r w:rsidR="00917943">
        <w:rPr>
          <w:rFonts w:cs="Arial"/>
        </w:rPr>
        <w:t>, and relevant goals of the Victorian State Disability Plan 2013-2016</w:t>
      </w:r>
      <w:r w:rsidR="00D02181">
        <w:rPr>
          <w:rFonts w:cs="Arial"/>
        </w:rPr>
        <w:t>.</w:t>
      </w:r>
    </w:p>
    <w:p w:rsidR="00D02181" w:rsidRDefault="00D02181" w:rsidP="00D02181">
      <w:r>
        <w:br w:type="page"/>
      </w:r>
    </w:p>
    <w:p w:rsidR="00341164" w:rsidRDefault="00AF5031" w:rsidP="002D3DEC">
      <w:pPr>
        <w:pStyle w:val="Heading2"/>
      </w:pPr>
      <w:r>
        <w:lastRenderedPageBreak/>
        <w:t>3</w:t>
      </w:r>
      <w:r w:rsidR="00D02181">
        <w:t>.1 Education</w:t>
      </w:r>
    </w:p>
    <w:p w:rsidR="00D02181" w:rsidRDefault="00C6586B" w:rsidP="00341164">
      <w:r>
        <w:t>On average each</w:t>
      </w:r>
      <w:r w:rsidR="00D02181">
        <w:t xml:space="preserve"> quarter, disability advocacy organisations reported 199 people were provided with advocacy assistance on education. This was the highest number of people for an individual topic, although</w:t>
      </w:r>
      <w:r w:rsidR="009510BF">
        <w:t xml:space="preserve"> the</w:t>
      </w:r>
      <w:r w:rsidR="00D02181">
        <w:t xml:space="preserve"> </w:t>
      </w:r>
      <w:r w:rsidR="00D02181" w:rsidRPr="00341164">
        <w:t xml:space="preserve">Office for Disability </w:t>
      </w:r>
      <w:r w:rsidR="00482845">
        <w:t>has advised</w:t>
      </w:r>
      <w:r w:rsidR="00D02181" w:rsidRPr="00341164">
        <w:t xml:space="preserve"> that</w:t>
      </w:r>
      <w:r w:rsidR="00D02181">
        <w:t xml:space="preserve"> the high number</w:t>
      </w:r>
      <w:r w:rsidR="00D02181" w:rsidRPr="00341164">
        <w:t xml:space="preserve"> reflect</w:t>
      </w:r>
      <w:r w:rsidR="00D02181">
        <w:t>s</w:t>
      </w:r>
      <w:r w:rsidR="00D02181" w:rsidRPr="00341164">
        <w:t xml:space="preserve"> the way one organisation interpret</w:t>
      </w:r>
      <w:r w:rsidR="00777D4F">
        <w:t>ed</w:t>
      </w:r>
      <w:r w:rsidR="00D02181" w:rsidRPr="00341164">
        <w:t xml:space="preserve"> this question in the QDC form</w:t>
      </w:r>
      <w:r w:rsidR="00D02181">
        <w:t>.</w:t>
      </w:r>
    </w:p>
    <w:p w:rsidR="00D02181" w:rsidRDefault="00D02181" w:rsidP="00341164">
      <w:r>
        <w:t xml:space="preserve">The following human rights </w:t>
      </w:r>
      <w:r w:rsidR="00482845">
        <w:t xml:space="preserve">areas </w:t>
      </w:r>
      <w:r>
        <w:t>may apply to issues relating to education for people with disabilities:</w:t>
      </w:r>
    </w:p>
    <w:p w:rsidR="00D02181" w:rsidRDefault="00D02181" w:rsidP="00D02181">
      <w:pPr>
        <w:pStyle w:val="ListParagraph"/>
        <w:numPr>
          <w:ilvl w:val="0"/>
          <w:numId w:val="2"/>
        </w:numPr>
      </w:pPr>
      <w:r>
        <w:t xml:space="preserve">UN </w:t>
      </w:r>
      <w:r w:rsidRPr="00D02181">
        <w:t>Convention on the Rights of Persons with a Disability</w:t>
      </w:r>
    </w:p>
    <w:p w:rsidR="00D02181" w:rsidRDefault="00D02181" w:rsidP="00D02181">
      <w:pPr>
        <w:pStyle w:val="ListParagraph"/>
        <w:numPr>
          <w:ilvl w:val="1"/>
          <w:numId w:val="2"/>
        </w:numPr>
      </w:pPr>
      <w:r>
        <w:t xml:space="preserve">Article 8: Awareness </w:t>
      </w:r>
      <w:r w:rsidR="00777D4F">
        <w:t>r</w:t>
      </w:r>
      <w:r>
        <w:t>aising</w:t>
      </w:r>
    </w:p>
    <w:p w:rsidR="00D02181" w:rsidRDefault="00D02181" w:rsidP="00D02181">
      <w:pPr>
        <w:pStyle w:val="ListParagraph"/>
        <w:numPr>
          <w:ilvl w:val="1"/>
          <w:numId w:val="2"/>
        </w:numPr>
      </w:pPr>
      <w:r>
        <w:t xml:space="preserve">Article 20: Personal </w:t>
      </w:r>
      <w:r w:rsidR="00777D4F">
        <w:t>m</w:t>
      </w:r>
      <w:r>
        <w:t>obility</w:t>
      </w:r>
    </w:p>
    <w:p w:rsidR="00D02181" w:rsidRDefault="00D02181" w:rsidP="00D02181">
      <w:pPr>
        <w:pStyle w:val="ListParagraph"/>
        <w:numPr>
          <w:ilvl w:val="1"/>
          <w:numId w:val="2"/>
        </w:numPr>
      </w:pPr>
      <w:r>
        <w:t>Article 21: Freedom of expression and opinion and access to information</w:t>
      </w:r>
    </w:p>
    <w:p w:rsidR="00D02181" w:rsidRDefault="00D02181" w:rsidP="00D02181">
      <w:pPr>
        <w:pStyle w:val="ListParagraph"/>
        <w:numPr>
          <w:ilvl w:val="1"/>
          <w:numId w:val="2"/>
        </w:numPr>
      </w:pPr>
      <w:r>
        <w:t>Article 24: Education</w:t>
      </w:r>
    </w:p>
    <w:p w:rsidR="00777D4F" w:rsidRDefault="00777D4F" w:rsidP="00D55D8F">
      <w:pPr>
        <w:pStyle w:val="ListParagraph"/>
        <w:ind w:left="1440"/>
      </w:pPr>
    </w:p>
    <w:p w:rsidR="00D02181" w:rsidRPr="00D02181" w:rsidRDefault="00D02181" w:rsidP="00D02181">
      <w:pPr>
        <w:pStyle w:val="ListParagraph"/>
        <w:numPr>
          <w:ilvl w:val="0"/>
          <w:numId w:val="2"/>
        </w:numPr>
      </w:pPr>
      <w:r w:rsidRPr="00C610AD">
        <w:rPr>
          <w:rFonts w:cs="Arial"/>
        </w:rPr>
        <w:t xml:space="preserve">Victorian Charter of Human </w:t>
      </w:r>
      <w:r w:rsidR="00777D4F">
        <w:rPr>
          <w:rFonts w:cs="Arial"/>
        </w:rPr>
        <w:t>R</w:t>
      </w:r>
      <w:r w:rsidRPr="00C610AD">
        <w:rPr>
          <w:rFonts w:cs="Arial"/>
        </w:rPr>
        <w:t>ights and Responsibilities</w:t>
      </w:r>
    </w:p>
    <w:p w:rsidR="002D3DEC" w:rsidRDefault="002D3DEC" w:rsidP="002D3DEC">
      <w:pPr>
        <w:pStyle w:val="ListParagraph"/>
        <w:numPr>
          <w:ilvl w:val="1"/>
          <w:numId w:val="2"/>
        </w:numPr>
      </w:pPr>
      <w:r>
        <w:t>Section 14: Freedom of thought, conscience, religion and belief</w:t>
      </w:r>
    </w:p>
    <w:p w:rsidR="00D02181" w:rsidRDefault="00D02181" w:rsidP="00D02181">
      <w:pPr>
        <w:pStyle w:val="ListParagraph"/>
        <w:numPr>
          <w:ilvl w:val="1"/>
          <w:numId w:val="2"/>
        </w:numPr>
      </w:pPr>
      <w:r>
        <w:t>Section 15: Freedom of expression and opinion and access to information</w:t>
      </w:r>
    </w:p>
    <w:p w:rsidR="006231A9" w:rsidRDefault="006231A9" w:rsidP="006231A9">
      <w:pPr>
        <w:pStyle w:val="ListParagraph"/>
        <w:ind w:left="1440"/>
      </w:pPr>
    </w:p>
    <w:p w:rsidR="006231A9" w:rsidRDefault="006231A9" w:rsidP="006231A9">
      <w:pPr>
        <w:pStyle w:val="ListParagraph"/>
        <w:numPr>
          <w:ilvl w:val="0"/>
          <w:numId w:val="13"/>
        </w:numPr>
      </w:pPr>
      <w:r>
        <w:rPr>
          <w:rFonts w:cs="Arial"/>
        </w:rPr>
        <w:t>Victorian State Disability Plan Goal 1</w:t>
      </w:r>
    </w:p>
    <w:p w:rsidR="006231A9" w:rsidRDefault="006231A9" w:rsidP="006231A9">
      <w:pPr>
        <w:pStyle w:val="ListParagraph"/>
        <w:numPr>
          <w:ilvl w:val="1"/>
          <w:numId w:val="13"/>
        </w:numPr>
      </w:pPr>
      <w:r>
        <w:t xml:space="preserve">Outcome area 1: Better opportunities in education and early childhood development services </w:t>
      </w:r>
    </w:p>
    <w:p w:rsidR="009510BF" w:rsidRPr="009510BF" w:rsidRDefault="009510BF" w:rsidP="009510BF">
      <w:pPr>
        <w:pStyle w:val="Heading3"/>
        <w:rPr>
          <w:rFonts w:ascii="Arial" w:hAnsi="Arial"/>
        </w:rPr>
      </w:pPr>
      <w:r w:rsidRPr="009510BF">
        <w:t>Case study 1: Thomas</w:t>
      </w:r>
    </w:p>
    <w:p w:rsidR="009510BF" w:rsidRPr="009510BF" w:rsidRDefault="009510BF" w:rsidP="009510BF">
      <w:r w:rsidRPr="009510BF">
        <w:t>Seven</w:t>
      </w:r>
      <w:r w:rsidR="00777D4F">
        <w:t>-</w:t>
      </w:r>
      <w:r w:rsidRPr="009510BF">
        <w:t>year</w:t>
      </w:r>
      <w:r w:rsidR="00777D4F">
        <w:t>-</w:t>
      </w:r>
      <w:r w:rsidRPr="009510BF">
        <w:t>old Thomas</w:t>
      </w:r>
      <w:r>
        <w:t>*</w:t>
      </w:r>
      <w:r w:rsidRPr="009510BF">
        <w:t xml:space="preserve"> was suspended from a private Catholic primary school in regional Victoria due to his disruptive and inappropriate behaviour. Thomas has autism. His mother, Sarah</w:t>
      </w:r>
      <w:r>
        <w:t>*</w:t>
      </w:r>
      <w:r w:rsidRPr="009510BF">
        <w:t xml:space="preserve">, believed that the school had not acted on an agreed treatment plan for Thomas. Sarah sought advocacy support from a regional disability advocacy organisation. After consultation with a disability discrimination legal service, a letter to the school </w:t>
      </w:r>
      <w:r w:rsidR="00777D4F">
        <w:t>p</w:t>
      </w:r>
      <w:r w:rsidRPr="009510BF">
        <w:t xml:space="preserve">rincipal was </w:t>
      </w:r>
      <w:r w:rsidR="00777D4F">
        <w:t>written</w:t>
      </w:r>
      <w:r w:rsidRPr="009510BF">
        <w:t xml:space="preserve">, along with supporting documents from Thomas’ </w:t>
      </w:r>
      <w:r w:rsidR="00777D4F">
        <w:t>p</w:t>
      </w:r>
      <w:r w:rsidRPr="009510BF">
        <w:t xml:space="preserve">aediatrician and </w:t>
      </w:r>
      <w:r w:rsidR="00777D4F">
        <w:t>p</w:t>
      </w:r>
      <w:r w:rsidRPr="009510BF">
        <w:t xml:space="preserve">sychologist. </w:t>
      </w:r>
    </w:p>
    <w:p w:rsidR="009510BF" w:rsidRPr="009510BF" w:rsidRDefault="009510BF" w:rsidP="009510BF">
      <w:r w:rsidRPr="009510BF">
        <w:t>Thomas returned to school full</w:t>
      </w:r>
      <w:r w:rsidR="00777D4F">
        <w:t>-</w:t>
      </w:r>
      <w:r w:rsidRPr="009510BF">
        <w:t xml:space="preserve">time after the school agreed to put in place strategies recommended by the treating professionals. </w:t>
      </w:r>
    </w:p>
    <w:p w:rsidR="009510BF" w:rsidRPr="009510BF" w:rsidRDefault="009510BF" w:rsidP="009510BF">
      <w:pPr>
        <w:rPr>
          <w:sz w:val="18"/>
          <w:szCs w:val="18"/>
        </w:rPr>
      </w:pPr>
      <w:r w:rsidRPr="009510BF">
        <w:rPr>
          <w:sz w:val="18"/>
          <w:szCs w:val="18"/>
        </w:rPr>
        <w:t xml:space="preserve">* Names </w:t>
      </w:r>
      <w:r w:rsidR="00C6586B">
        <w:rPr>
          <w:sz w:val="18"/>
          <w:szCs w:val="18"/>
        </w:rPr>
        <w:t>are invented</w:t>
      </w:r>
      <w:r w:rsidRPr="009510BF">
        <w:rPr>
          <w:sz w:val="18"/>
          <w:szCs w:val="18"/>
        </w:rPr>
        <w:t xml:space="preserve"> to protect the identity of individuals.</w:t>
      </w:r>
    </w:p>
    <w:p w:rsidR="009510BF" w:rsidRDefault="009510BF" w:rsidP="009510BF">
      <w:pPr>
        <w:pStyle w:val="Heading3"/>
      </w:pPr>
      <w:r w:rsidRPr="009510BF">
        <w:t>Case</w:t>
      </w:r>
      <w:r>
        <w:t xml:space="preserve"> study 2: Bai</w:t>
      </w:r>
    </w:p>
    <w:p w:rsidR="009510BF" w:rsidRPr="009510BF" w:rsidRDefault="009510BF" w:rsidP="00DF01E8">
      <w:pPr>
        <w:rPr>
          <w:b/>
        </w:rPr>
      </w:pPr>
      <w:r w:rsidRPr="009510BF">
        <w:t>Bai</w:t>
      </w:r>
      <w:r>
        <w:t>*</w:t>
      </w:r>
      <w:r w:rsidRPr="009510BF">
        <w:t xml:space="preserve"> wanted to complete the remainder of his secondary school education at a special developmental school. He required assistance to locate a school. He has an intellectual and a learning disability. Bai and his mother </w:t>
      </w:r>
      <w:proofErr w:type="spellStart"/>
      <w:r w:rsidR="00D55D8F">
        <w:t>Ratana</w:t>
      </w:r>
      <w:proofErr w:type="spellEnd"/>
      <w:r>
        <w:t>*</w:t>
      </w:r>
      <w:r w:rsidRPr="009510BF">
        <w:t>, also needed support to determine what</w:t>
      </w:r>
      <w:r w:rsidR="00777D4F">
        <w:t>,</w:t>
      </w:r>
      <w:r w:rsidRPr="009510BF">
        <w:t xml:space="preserve"> if any</w:t>
      </w:r>
      <w:r w:rsidR="00777D4F">
        <w:t>,</w:t>
      </w:r>
      <w:r w:rsidRPr="009510BF">
        <w:t xml:space="preserve"> impact there would be on his disability support pension and his mother’s Centrelink Carer</w:t>
      </w:r>
      <w:r w:rsidR="00777D4F">
        <w:t>’</w:t>
      </w:r>
      <w:r w:rsidRPr="009510BF">
        <w:t>s Payment once he returned to school. A disability advocate assisted Bai to research special schools close to his home</w:t>
      </w:r>
      <w:r>
        <w:t>, and to apply</w:t>
      </w:r>
      <w:r w:rsidRPr="009510BF">
        <w:t xml:space="preserve"> for transport assistance. Bai eventually returned to school and learned that his disability support pension would not be affected.</w:t>
      </w:r>
    </w:p>
    <w:p w:rsidR="00C6586B" w:rsidRPr="009510BF" w:rsidRDefault="00C6586B" w:rsidP="00C6586B">
      <w:pPr>
        <w:rPr>
          <w:sz w:val="18"/>
          <w:szCs w:val="18"/>
        </w:rPr>
      </w:pPr>
      <w:r w:rsidRPr="009510BF">
        <w:rPr>
          <w:sz w:val="18"/>
          <w:szCs w:val="18"/>
        </w:rPr>
        <w:t xml:space="preserve">* Names </w:t>
      </w:r>
      <w:r>
        <w:rPr>
          <w:sz w:val="18"/>
          <w:szCs w:val="18"/>
        </w:rPr>
        <w:t>are invented</w:t>
      </w:r>
      <w:r w:rsidRPr="009510BF">
        <w:rPr>
          <w:sz w:val="18"/>
          <w:szCs w:val="18"/>
        </w:rPr>
        <w:t xml:space="preserve"> to protect the identity of individuals.</w:t>
      </w:r>
    </w:p>
    <w:p w:rsidR="009510BF" w:rsidRDefault="009510BF" w:rsidP="00DF01E8"/>
    <w:p w:rsidR="009510BF" w:rsidRDefault="009510BF" w:rsidP="009510BF">
      <w:r>
        <w:br w:type="page"/>
      </w:r>
    </w:p>
    <w:p w:rsidR="009510BF" w:rsidRDefault="00AF5031" w:rsidP="002D3DEC">
      <w:pPr>
        <w:pStyle w:val="Heading2"/>
      </w:pPr>
      <w:r>
        <w:lastRenderedPageBreak/>
        <w:t>3</w:t>
      </w:r>
      <w:r w:rsidR="009510BF">
        <w:t>.2 Disability Services</w:t>
      </w:r>
    </w:p>
    <w:p w:rsidR="009510BF" w:rsidRDefault="00C6586B" w:rsidP="009510BF">
      <w:r>
        <w:t>On average each</w:t>
      </w:r>
      <w:r w:rsidR="009510BF">
        <w:t xml:space="preserve"> quarter, disability advocacy organisations reported 133 people were provided with advocacy assistance on disability services. This was the second highest number of people for an individual topic, although the </w:t>
      </w:r>
      <w:r w:rsidR="009510BF" w:rsidRPr="00341164">
        <w:t xml:space="preserve">Office for Disability </w:t>
      </w:r>
      <w:r w:rsidR="00482845">
        <w:t>has advised</w:t>
      </w:r>
      <w:r w:rsidR="009510BF" w:rsidRPr="00341164">
        <w:t xml:space="preserve"> that</w:t>
      </w:r>
      <w:r w:rsidR="009510BF">
        <w:t xml:space="preserve"> the high number</w:t>
      </w:r>
      <w:r w:rsidR="009510BF" w:rsidRPr="00341164">
        <w:t xml:space="preserve"> reflect</w:t>
      </w:r>
      <w:r w:rsidR="009510BF">
        <w:t>s</w:t>
      </w:r>
      <w:r w:rsidR="009510BF" w:rsidRPr="00341164">
        <w:t xml:space="preserve"> the way one organisation interpret</w:t>
      </w:r>
      <w:r w:rsidR="00777D4F">
        <w:t>ed</w:t>
      </w:r>
      <w:r w:rsidR="009510BF" w:rsidRPr="00341164">
        <w:t xml:space="preserve"> this question in the QDC form</w:t>
      </w:r>
      <w:r w:rsidR="009510BF">
        <w:t>.</w:t>
      </w:r>
    </w:p>
    <w:p w:rsidR="009510BF" w:rsidRDefault="009510BF" w:rsidP="009510BF">
      <w:r>
        <w:t>The following human rights may apply to issues relating to services for people with disabilities:</w:t>
      </w:r>
      <w:bookmarkStart w:id="0" w:name="OLE_LINK7"/>
      <w:bookmarkStart w:id="1" w:name="OLE_LINK8"/>
      <w:bookmarkStart w:id="2" w:name="OLE_LINK9"/>
    </w:p>
    <w:p w:rsidR="009510BF" w:rsidRDefault="009510BF" w:rsidP="009510BF">
      <w:pPr>
        <w:pStyle w:val="ListParagraph"/>
        <w:numPr>
          <w:ilvl w:val="0"/>
          <w:numId w:val="2"/>
        </w:numPr>
      </w:pPr>
      <w:r>
        <w:t xml:space="preserve">UN </w:t>
      </w:r>
      <w:r w:rsidRPr="00D02181">
        <w:t>Convention on the Rights of Persons with a Disability</w:t>
      </w:r>
    </w:p>
    <w:p w:rsidR="009510BF" w:rsidRDefault="009510BF" w:rsidP="009510BF">
      <w:pPr>
        <w:pStyle w:val="ListParagraph"/>
        <w:numPr>
          <w:ilvl w:val="1"/>
          <w:numId w:val="2"/>
        </w:numPr>
      </w:pPr>
      <w:r>
        <w:t xml:space="preserve">Article 20: Personal </w:t>
      </w:r>
      <w:r w:rsidR="00777D4F">
        <w:t>m</w:t>
      </w:r>
      <w:r>
        <w:t>obility</w:t>
      </w:r>
    </w:p>
    <w:bookmarkEnd w:id="0"/>
    <w:bookmarkEnd w:id="1"/>
    <w:bookmarkEnd w:id="2"/>
    <w:p w:rsidR="009510BF" w:rsidRDefault="009510BF" w:rsidP="009510BF">
      <w:pPr>
        <w:pStyle w:val="ListParagraph"/>
        <w:numPr>
          <w:ilvl w:val="1"/>
          <w:numId w:val="2"/>
        </w:numPr>
      </w:pPr>
      <w:r>
        <w:t xml:space="preserve">Article 26: </w:t>
      </w:r>
      <w:proofErr w:type="spellStart"/>
      <w:r>
        <w:t>Habilitation</w:t>
      </w:r>
      <w:proofErr w:type="spellEnd"/>
      <w:r>
        <w:t xml:space="preserve"> and rehabilitation </w:t>
      </w:r>
    </w:p>
    <w:p w:rsidR="00A956AB" w:rsidRDefault="00A956AB" w:rsidP="00A956AB">
      <w:pPr>
        <w:pStyle w:val="ListParagraph"/>
        <w:ind w:left="1440"/>
      </w:pPr>
    </w:p>
    <w:p w:rsidR="00A956AB" w:rsidRDefault="00A956AB" w:rsidP="00A956AB">
      <w:pPr>
        <w:pStyle w:val="ListParagraph"/>
        <w:numPr>
          <w:ilvl w:val="0"/>
          <w:numId w:val="13"/>
        </w:numPr>
      </w:pPr>
      <w:r>
        <w:rPr>
          <w:rFonts w:cs="Arial"/>
        </w:rPr>
        <w:t>Victorian State Disability Plan Goal 4</w:t>
      </w:r>
    </w:p>
    <w:p w:rsidR="00A956AB" w:rsidRDefault="00A956AB" w:rsidP="00A956AB">
      <w:pPr>
        <w:pStyle w:val="ListParagraph"/>
        <w:numPr>
          <w:ilvl w:val="1"/>
          <w:numId w:val="13"/>
        </w:numPr>
      </w:pPr>
      <w:r>
        <w:t xml:space="preserve">Outcome area 1: More opportunities for independence, choice and control </w:t>
      </w:r>
    </w:p>
    <w:p w:rsidR="006231A9" w:rsidRDefault="006231A9" w:rsidP="006231A9">
      <w:pPr>
        <w:ind w:left="1080"/>
      </w:pPr>
    </w:p>
    <w:p w:rsidR="009510BF" w:rsidRPr="009510BF" w:rsidRDefault="009510BF" w:rsidP="009510BF">
      <w:pPr>
        <w:pStyle w:val="Heading3"/>
      </w:pPr>
      <w:r w:rsidRPr="009510BF">
        <w:t>Case study 3: Leah</w:t>
      </w:r>
    </w:p>
    <w:p w:rsidR="009510BF" w:rsidRDefault="009510BF" w:rsidP="009510BF">
      <w:r>
        <w:t>Leah</w:t>
      </w:r>
      <w:r w:rsidR="002D3DEC">
        <w:t>*</w:t>
      </w:r>
      <w:r>
        <w:t xml:space="preserve">, an Aboriginal woman, is case managed by a regional disability service provider. She has an acquired brain injury resulting from a brain tumour, and has also recently been diagnosed with schizophrenia. She uses a range of services to manage her medication and her behaviour when she inconsistently takes her medication, and with her daily living. Leah sought advocacy to assist her to challenge the decision to close her case. </w:t>
      </w:r>
    </w:p>
    <w:p w:rsidR="009510BF" w:rsidRDefault="009510BF" w:rsidP="009510BF">
      <w:r>
        <w:t>After meeting with each of the providers working with Leah, it was noted that Leah responded well to regular prompts to take her medication. Her case remained open for another month in order to trial a process for implementing the medical prompts. She also commenced receiving home care services.</w:t>
      </w:r>
    </w:p>
    <w:p w:rsidR="00C6586B" w:rsidRPr="009510BF" w:rsidRDefault="00C6586B" w:rsidP="00C6586B">
      <w:pPr>
        <w:rPr>
          <w:sz w:val="18"/>
          <w:szCs w:val="18"/>
        </w:rPr>
      </w:pPr>
      <w:r w:rsidRPr="009510BF">
        <w:rPr>
          <w:sz w:val="18"/>
          <w:szCs w:val="18"/>
        </w:rPr>
        <w:t xml:space="preserve">* Names </w:t>
      </w:r>
      <w:r>
        <w:rPr>
          <w:sz w:val="18"/>
          <w:szCs w:val="18"/>
        </w:rPr>
        <w:t>are invented</w:t>
      </w:r>
      <w:r w:rsidRPr="009510BF">
        <w:rPr>
          <w:sz w:val="18"/>
          <w:szCs w:val="18"/>
        </w:rPr>
        <w:t xml:space="preserve"> to protect the identity of individuals.</w:t>
      </w:r>
    </w:p>
    <w:p w:rsidR="002D3DEC" w:rsidRDefault="002D3DEC" w:rsidP="009510BF">
      <w:pPr>
        <w:pStyle w:val="Heading3"/>
      </w:pPr>
    </w:p>
    <w:p w:rsidR="002D3DEC" w:rsidRDefault="002D3DEC">
      <w:pPr>
        <w:rPr>
          <w:rFonts w:ascii="Century Gothic" w:eastAsiaTheme="majorEastAsia" w:hAnsi="Century Gothic" w:cstheme="majorBidi"/>
          <w:b/>
          <w:bCs/>
          <w:sz w:val="26"/>
          <w:szCs w:val="26"/>
        </w:rPr>
      </w:pPr>
      <w:r>
        <w:br w:type="page"/>
      </w:r>
    </w:p>
    <w:p w:rsidR="009510BF" w:rsidRDefault="00AF5031" w:rsidP="002D3DEC">
      <w:pPr>
        <w:pStyle w:val="Heading2"/>
      </w:pPr>
      <w:r>
        <w:lastRenderedPageBreak/>
        <w:t>3</w:t>
      </w:r>
      <w:r w:rsidR="009510BF">
        <w:t>.3 Accommodation</w:t>
      </w:r>
    </w:p>
    <w:p w:rsidR="009510BF" w:rsidRDefault="009510BF" w:rsidP="009510BF">
      <w:r>
        <w:t>On ave</w:t>
      </w:r>
      <w:r w:rsidR="00C6586B">
        <w:t>rage each</w:t>
      </w:r>
      <w:r>
        <w:t xml:space="preserve"> quarter, disability advocacy organisations reported 67 people were prov</w:t>
      </w:r>
      <w:r w:rsidR="002D3DEC">
        <w:t>ided with advocacy assistance for</w:t>
      </w:r>
      <w:r>
        <w:t xml:space="preserve"> </w:t>
      </w:r>
      <w:r w:rsidR="002D3DEC">
        <w:t>accommodation</w:t>
      </w:r>
      <w:r>
        <w:t>. This was the third highest number of people for an individual topic.</w:t>
      </w:r>
    </w:p>
    <w:p w:rsidR="009510BF" w:rsidRDefault="009510BF" w:rsidP="009510BF">
      <w:r>
        <w:t xml:space="preserve">The following human rights </w:t>
      </w:r>
      <w:r w:rsidR="00777D4F">
        <w:t xml:space="preserve">areas </w:t>
      </w:r>
      <w:r>
        <w:t xml:space="preserve">may apply to issues relating to </w:t>
      </w:r>
      <w:r w:rsidR="002D3DEC">
        <w:t>accommodation</w:t>
      </w:r>
      <w:r>
        <w:t xml:space="preserve"> for people with disabilities:</w:t>
      </w:r>
    </w:p>
    <w:p w:rsidR="009510BF" w:rsidRDefault="009510BF" w:rsidP="009510BF">
      <w:pPr>
        <w:pStyle w:val="ListParagraph"/>
        <w:numPr>
          <w:ilvl w:val="0"/>
          <w:numId w:val="2"/>
        </w:numPr>
      </w:pPr>
      <w:r>
        <w:t xml:space="preserve">UN </w:t>
      </w:r>
      <w:r w:rsidRPr="00D02181">
        <w:t>Convention on the Rights of Persons with a Disability</w:t>
      </w:r>
    </w:p>
    <w:p w:rsidR="002D3DEC" w:rsidRDefault="002D3DEC" w:rsidP="002D3DEC">
      <w:pPr>
        <w:pStyle w:val="ListParagraph"/>
        <w:numPr>
          <w:ilvl w:val="1"/>
          <w:numId w:val="2"/>
        </w:numPr>
      </w:pPr>
      <w:r>
        <w:t xml:space="preserve">Article 8: Awareness </w:t>
      </w:r>
      <w:r w:rsidR="00777D4F">
        <w:t>r</w:t>
      </w:r>
      <w:r>
        <w:t>aising</w:t>
      </w:r>
    </w:p>
    <w:p w:rsidR="002D3DEC" w:rsidRDefault="002D3DEC" w:rsidP="002D3DEC">
      <w:pPr>
        <w:pStyle w:val="ListParagraph"/>
        <w:numPr>
          <w:ilvl w:val="1"/>
          <w:numId w:val="2"/>
        </w:numPr>
      </w:pPr>
      <w:r>
        <w:t>Article 19: Living independently and being included in the community</w:t>
      </w:r>
    </w:p>
    <w:p w:rsidR="002D3DEC" w:rsidRDefault="002D3DEC" w:rsidP="002D3DEC">
      <w:pPr>
        <w:pStyle w:val="ListParagraph"/>
        <w:numPr>
          <w:ilvl w:val="1"/>
          <w:numId w:val="2"/>
        </w:numPr>
      </w:pPr>
      <w:r>
        <w:t>Article 28: Adequate standard of living and social protection</w:t>
      </w:r>
    </w:p>
    <w:p w:rsidR="00777D4F" w:rsidRDefault="00777D4F" w:rsidP="00D55D8F">
      <w:pPr>
        <w:pStyle w:val="ListParagraph"/>
        <w:ind w:left="1440"/>
      </w:pPr>
    </w:p>
    <w:p w:rsidR="002D3DEC" w:rsidRPr="002D3DEC" w:rsidRDefault="002D3DEC" w:rsidP="002D3DEC">
      <w:pPr>
        <w:pStyle w:val="ListParagraph"/>
        <w:numPr>
          <w:ilvl w:val="0"/>
          <w:numId w:val="2"/>
        </w:numPr>
      </w:pPr>
      <w:r w:rsidRPr="00C610AD">
        <w:rPr>
          <w:rFonts w:cs="Arial"/>
        </w:rPr>
        <w:t xml:space="preserve">Victorian Charter of Human </w:t>
      </w:r>
      <w:r w:rsidR="00777D4F">
        <w:rPr>
          <w:rFonts w:cs="Arial"/>
        </w:rPr>
        <w:t>R</w:t>
      </w:r>
      <w:r w:rsidRPr="00C610AD">
        <w:rPr>
          <w:rFonts w:cs="Arial"/>
        </w:rPr>
        <w:t>ights and Responsibilities</w:t>
      </w:r>
    </w:p>
    <w:p w:rsidR="00AE60F7" w:rsidRDefault="002D3DEC" w:rsidP="00AE60F7">
      <w:pPr>
        <w:pStyle w:val="ListParagraph"/>
        <w:ind w:left="1440"/>
      </w:pPr>
      <w:r>
        <w:t>Section 14: Freedom of thought, conscience, religion and belief</w:t>
      </w:r>
      <w:r w:rsidR="00AE60F7" w:rsidRPr="00AE60F7">
        <w:t xml:space="preserve"> </w:t>
      </w:r>
    </w:p>
    <w:p w:rsidR="00AE60F7" w:rsidRDefault="00AE60F7" w:rsidP="00AE60F7">
      <w:pPr>
        <w:pStyle w:val="ListParagraph"/>
        <w:numPr>
          <w:ilvl w:val="0"/>
          <w:numId w:val="13"/>
        </w:numPr>
      </w:pPr>
      <w:r>
        <w:rPr>
          <w:rFonts w:cs="Arial"/>
        </w:rPr>
        <w:t>Victorian State Disability Plan Goal 1</w:t>
      </w:r>
    </w:p>
    <w:p w:rsidR="00AE60F7" w:rsidRDefault="000B7BF5" w:rsidP="00AE60F7">
      <w:pPr>
        <w:pStyle w:val="ListParagraph"/>
        <w:numPr>
          <w:ilvl w:val="1"/>
          <w:numId w:val="13"/>
        </w:numPr>
      </w:pPr>
      <w:r>
        <w:t>Outcome area 2</w:t>
      </w:r>
      <w:r w:rsidR="00AE60F7">
        <w:t xml:space="preserve">: </w:t>
      </w:r>
      <w:r>
        <w:t xml:space="preserve">Improved housing and accommodation choices </w:t>
      </w:r>
    </w:p>
    <w:p w:rsidR="002D3DEC" w:rsidRDefault="002D3DEC" w:rsidP="000B7BF5"/>
    <w:p w:rsidR="009510BF" w:rsidRDefault="002D3DEC" w:rsidP="002D3DEC">
      <w:pPr>
        <w:pStyle w:val="Heading3"/>
      </w:pPr>
      <w:r>
        <w:t>Case study 4: Ted</w:t>
      </w:r>
    </w:p>
    <w:p w:rsidR="002D3DEC" w:rsidRDefault="002D3DEC" w:rsidP="002D3DEC">
      <w:r w:rsidRPr="002D3DEC">
        <w:t>Ted</w:t>
      </w:r>
      <w:r>
        <w:t>*</w:t>
      </w:r>
      <w:r w:rsidRPr="002D3DEC">
        <w:t>, 48, has an ongoing heart condition which affects his mobility and ability to work. He has no contact with his family and is homeless. He has been living in his broken down car in a residential street in regional Victoria since 2010. He required advocacy support to access his superannuation payout and to source permanent housing. Ted is now livin</w:t>
      </w:r>
      <w:r>
        <w:t>g in transitional accommodation</w:t>
      </w:r>
      <w:r w:rsidRPr="002D3DEC">
        <w:t>, and he is on a waiting list for</w:t>
      </w:r>
      <w:r>
        <w:t xml:space="preserve"> </w:t>
      </w:r>
      <w:r w:rsidRPr="002D3DEC">
        <w:t>permanent housing.</w:t>
      </w:r>
    </w:p>
    <w:p w:rsidR="00C6586B" w:rsidRPr="009510BF" w:rsidRDefault="00C6586B" w:rsidP="00C6586B">
      <w:pPr>
        <w:rPr>
          <w:sz w:val="18"/>
          <w:szCs w:val="18"/>
        </w:rPr>
      </w:pPr>
      <w:r w:rsidRPr="009510BF">
        <w:rPr>
          <w:sz w:val="18"/>
          <w:szCs w:val="18"/>
        </w:rPr>
        <w:t xml:space="preserve">* Names </w:t>
      </w:r>
      <w:r>
        <w:rPr>
          <w:sz w:val="18"/>
          <w:szCs w:val="18"/>
        </w:rPr>
        <w:t>are invented</w:t>
      </w:r>
      <w:r w:rsidRPr="009510BF">
        <w:rPr>
          <w:sz w:val="18"/>
          <w:szCs w:val="18"/>
        </w:rPr>
        <w:t xml:space="preserve"> to protect the identity of individuals.</w:t>
      </w:r>
    </w:p>
    <w:p w:rsidR="002D3DEC" w:rsidRDefault="002D3DEC" w:rsidP="002D3DEC">
      <w:pPr>
        <w:pStyle w:val="Heading3"/>
      </w:pPr>
      <w:r>
        <w:t>Case study 5: Harold</w:t>
      </w:r>
    </w:p>
    <w:p w:rsidR="002D3DEC" w:rsidRDefault="002D3DEC" w:rsidP="002D3DEC">
      <w:r w:rsidRPr="002D3DEC">
        <w:t>Harold</w:t>
      </w:r>
      <w:r>
        <w:t>*</w:t>
      </w:r>
      <w:r w:rsidRPr="002D3DEC">
        <w:t xml:space="preserve"> is 93, has low vision and sometimes experiences confusion. He lives alone and does not receive any disability or home care services. When he approached a local home care assistance provider, Harold was told there was no available funding to assist him. He engaged an advocacy provider to seek a better outcome. The disability advocacy organisation learned that the home care provider had conducted Harold’s assessment over the phone. Harold had not disclosed his vision impairment. It was determined that Harold was indeed eligible for home care support</w:t>
      </w:r>
      <w:r w:rsidR="00777D4F">
        <w:t>,</w:t>
      </w:r>
      <w:r w:rsidRPr="002D3DEC">
        <w:t xml:space="preserve"> which he now receives weekly.</w:t>
      </w:r>
    </w:p>
    <w:p w:rsidR="002D3DEC" w:rsidRPr="00C6586B" w:rsidRDefault="00C6586B">
      <w:pPr>
        <w:rPr>
          <w:sz w:val="18"/>
          <w:szCs w:val="18"/>
        </w:rPr>
      </w:pPr>
      <w:r w:rsidRPr="009510BF">
        <w:rPr>
          <w:sz w:val="18"/>
          <w:szCs w:val="18"/>
        </w:rPr>
        <w:t xml:space="preserve">* Names </w:t>
      </w:r>
      <w:r>
        <w:rPr>
          <w:sz w:val="18"/>
          <w:szCs w:val="18"/>
        </w:rPr>
        <w:t>are invented</w:t>
      </w:r>
      <w:r w:rsidRPr="009510BF">
        <w:rPr>
          <w:sz w:val="18"/>
          <w:szCs w:val="18"/>
        </w:rPr>
        <w:t xml:space="preserve"> to prote</w:t>
      </w:r>
      <w:r>
        <w:rPr>
          <w:sz w:val="18"/>
          <w:szCs w:val="18"/>
        </w:rPr>
        <w:t>ct the identity of individuals.</w:t>
      </w:r>
      <w:r w:rsidR="002D3DEC">
        <w:br w:type="page"/>
      </w:r>
    </w:p>
    <w:p w:rsidR="002D3DEC" w:rsidRDefault="00AF5031" w:rsidP="002D3DEC">
      <w:pPr>
        <w:pStyle w:val="Heading2"/>
      </w:pPr>
      <w:r>
        <w:lastRenderedPageBreak/>
        <w:t>3</w:t>
      </w:r>
      <w:r w:rsidR="002D3DEC">
        <w:t>.4 Health</w:t>
      </w:r>
    </w:p>
    <w:p w:rsidR="002D3DEC" w:rsidRDefault="00C6586B" w:rsidP="002D3DEC">
      <w:r>
        <w:t>On average each</w:t>
      </w:r>
      <w:r w:rsidR="002D3DEC">
        <w:t xml:space="preserve"> quarter, disability ad</w:t>
      </w:r>
      <w:r w:rsidR="002B7E87">
        <w:t>vocacy organisations reported 53</w:t>
      </w:r>
      <w:r w:rsidR="002D3DEC">
        <w:t xml:space="preserve"> people were provided with advocacy assistance on health issues. This was the fourth highest number of people for an individual topic.</w:t>
      </w:r>
    </w:p>
    <w:p w:rsidR="002D3DEC" w:rsidRDefault="002D3DEC" w:rsidP="002D3DEC">
      <w:r>
        <w:t xml:space="preserve">The following human rights </w:t>
      </w:r>
      <w:r w:rsidR="00777D4F">
        <w:t xml:space="preserve">areas </w:t>
      </w:r>
      <w:r>
        <w:t xml:space="preserve">may apply to issues relating to </w:t>
      </w:r>
      <w:r w:rsidR="00C6586B">
        <w:t>health</w:t>
      </w:r>
      <w:r>
        <w:t xml:space="preserve"> for people with disabilities:</w:t>
      </w:r>
    </w:p>
    <w:p w:rsidR="002D3DEC" w:rsidRDefault="002D3DEC" w:rsidP="002D3DEC">
      <w:pPr>
        <w:pStyle w:val="ListParagraph"/>
        <w:numPr>
          <w:ilvl w:val="0"/>
          <w:numId w:val="2"/>
        </w:numPr>
      </w:pPr>
      <w:r>
        <w:t xml:space="preserve">UN </w:t>
      </w:r>
      <w:r w:rsidRPr="00D02181">
        <w:t>Convention on the Rights of Persons with a Disability</w:t>
      </w:r>
    </w:p>
    <w:p w:rsidR="00C6586B" w:rsidRDefault="00C6586B" w:rsidP="002D3DEC">
      <w:pPr>
        <w:pStyle w:val="ListParagraph"/>
        <w:numPr>
          <w:ilvl w:val="1"/>
          <w:numId w:val="2"/>
        </w:numPr>
      </w:pPr>
      <w:r>
        <w:t>Article 10: Right to life</w:t>
      </w:r>
    </w:p>
    <w:p w:rsidR="00C6586B" w:rsidRDefault="00C6586B" w:rsidP="00C6586B">
      <w:pPr>
        <w:pStyle w:val="ListParagraph"/>
        <w:numPr>
          <w:ilvl w:val="1"/>
          <w:numId w:val="2"/>
        </w:numPr>
      </w:pPr>
      <w:r>
        <w:t>Article 25: Health</w:t>
      </w:r>
    </w:p>
    <w:p w:rsidR="00F75B38" w:rsidRDefault="00F75B38" w:rsidP="00D55D8F">
      <w:pPr>
        <w:pStyle w:val="ListParagraph"/>
        <w:ind w:left="1440"/>
      </w:pPr>
    </w:p>
    <w:p w:rsidR="002D3DEC" w:rsidRPr="002D3DEC" w:rsidRDefault="002D3DEC" w:rsidP="002D3DEC">
      <w:pPr>
        <w:pStyle w:val="ListParagraph"/>
        <w:numPr>
          <w:ilvl w:val="0"/>
          <w:numId w:val="2"/>
        </w:numPr>
      </w:pPr>
      <w:r w:rsidRPr="00C610AD">
        <w:rPr>
          <w:rFonts w:cs="Arial"/>
        </w:rPr>
        <w:t xml:space="preserve">Victorian Charter of Human </w:t>
      </w:r>
      <w:r w:rsidR="00F75B38">
        <w:rPr>
          <w:rFonts w:cs="Arial"/>
        </w:rPr>
        <w:t>R</w:t>
      </w:r>
      <w:r w:rsidRPr="00C610AD">
        <w:rPr>
          <w:rFonts w:cs="Arial"/>
        </w:rPr>
        <w:t>ights and Responsibilities</w:t>
      </w:r>
    </w:p>
    <w:p w:rsidR="000B7BF5" w:rsidRDefault="00C6586B" w:rsidP="000B7BF5">
      <w:pPr>
        <w:pStyle w:val="ListParagraph"/>
        <w:ind w:left="1440"/>
      </w:pPr>
      <w:r>
        <w:t>Section 9: Right to life</w:t>
      </w:r>
      <w:r w:rsidR="000B7BF5" w:rsidRPr="000B7BF5">
        <w:t xml:space="preserve"> </w:t>
      </w:r>
    </w:p>
    <w:p w:rsidR="000B7BF5" w:rsidRDefault="000B7BF5" w:rsidP="000B7BF5">
      <w:pPr>
        <w:pStyle w:val="ListParagraph"/>
        <w:numPr>
          <w:ilvl w:val="0"/>
          <w:numId w:val="13"/>
        </w:numPr>
      </w:pPr>
      <w:r>
        <w:rPr>
          <w:rFonts w:cs="Arial"/>
        </w:rPr>
        <w:t>Victorian State Disability Plan Goal 1</w:t>
      </w:r>
    </w:p>
    <w:p w:rsidR="000B7BF5" w:rsidRDefault="000B7BF5" w:rsidP="000B7BF5">
      <w:pPr>
        <w:pStyle w:val="ListParagraph"/>
        <w:numPr>
          <w:ilvl w:val="1"/>
          <w:numId w:val="13"/>
        </w:numPr>
      </w:pPr>
      <w:r>
        <w:t xml:space="preserve">Outcome area 3: An improved response to lifelong health needs </w:t>
      </w:r>
    </w:p>
    <w:p w:rsidR="002D3DEC" w:rsidRDefault="002D3DEC" w:rsidP="000B7BF5">
      <w:pPr>
        <w:ind w:left="1080"/>
      </w:pPr>
    </w:p>
    <w:p w:rsidR="002D3DEC" w:rsidRDefault="00C6586B" w:rsidP="00C6586B">
      <w:pPr>
        <w:pStyle w:val="Heading3"/>
      </w:pPr>
      <w:r>
        <w:t>Case study 6: Victor</w:t>
      </w:r>
    </w:p>
    <w:p w:rsidR="00C6586B" w:rsidRDefault="00C6586B" w:rsidP="00C6586B">
      <w:r w:rsidRPr="00C6586B">
        <w:t>Victor</w:t>
      </w:r>
      <w:r>
        <w:t>*</w:t>
      </w:r>
      <w:r w:rsidRPr="00C6586B">
        <w:t xml:space="preserve"> is profoundly deaf and relies on an Auslan interpreter when attending his medical appointments. He has found that interpreting services are inconsistently provided when he attends medical appointments. Victor has discussed this issue with his disability advocate</w:t>
      </w:r>
      <w:r w:rsidR="00F75B38">
        <w:t>,</w:t>
      </w:r>
      <w:r w:rsidRPr="00C6586B">
        <w:t xml:space="preserve"> who has set up an online complaints form for people who are deaf or hard of hearing who access hospital services. The register of complaints will be used by the disability advocacy organisation to advocate for better access to Auslan interpreting services.</w:t>
      </w:r>
    </w:p>
    <w:p w:rsidR="00C6586B" w:rsidRPr="009510BF" w:rsidRDefault="00C6586B" w:rsidP="00C6586B">
      <w:pPr>
        <w:rPr>
          <w:sz w:val="18"/>
          <w:szCs w:val="18"/>
        </w:rPr>
      </w:pPr>
      <w:r w:rsidRPr="009510BF">
        <w:rPr>
          <w:sz w:val="18"/>
          <w:szCs w:val="18"/>
        </w:rPr>
        <w:t xml:space="preserve">* Names </w:t>
      </w:r>
      <w:r>
        <w:rPr>
          <w:sz w:val="18"/>
          <w:szCs w:val="18"/>
        </w:rPr>
        <w:t>are invented</w:t>
      </w:r>
      <w:r w:rsidRPr="009510BF">
        <w:rPr>
          <w:sz w:val="18"/>
          <w:szCs w:val="18"/>
        </w:rPr>
        <w:t xml:space="preserve"> to protect the identity of individuals.</w:t>
      </w:r>
    </w:p>
    <w:p w:rsidR="00D55D8F" w:rsidRDefault="00D55D8F">
      <w:pPr>
        <w:rPr>
          <w:rFonts w:ascii="Century Gothic" w:eastAsiaTheme="majorEastAsia" w:hAnsi="Century Gothic" w:cstheme="majorBidi"/>
          <w:b/>
          <w:bCs/>
          <w:sz w:val="26"/>
          <w:szCs w:val="26"/>
        </w:rPr>
      </w:pPr>
      <w:r>
        <w:br w:type="page"/>
      </w:r>
    </w:p>
    <w:p w:rsidR="00C6586B" w:rsidRDefault="00AF5031" w:rsidP="00C6586B">
      <w:pPr>
        <w:pStyle w:val="Heading2"/>
      </w:pPr>
      <w:r>
        <w:lastRenderedPageBreak/>
        <w:t>3</w:t>
      </w:r>
      <w:r w:rsidR="00C6586B">
        <w:t>.5 Family</w:t>
      </w:r>
    </w:p>
    <w:p w:rsidR="00C6586B" w:rsidRDefault="00C6586B" w:rsidP="00C6586B">
      <w:r>
        <w:t>On average each quarter, disability ad</w:t>
      </w:r>
      <w:r w:rsidR="002B7E87">
        <w:t>vocacy organisations reported 50</w:t>
      </w:r>
      <w:r>
        <w:t xml:space="preserve"> people were provided with advocacy assistance on family issues. This was the fifth highest number of people for an individual topic.</w:t>
      </w:r>
    </w:p>
    <w:p w:rsidR="00C6586B" w:rsidRDefault="00C6586B" w:rsidP="00C6586B">
      <w:r>
        <w:t xml:space="preserve">The following human rights </w:t>
      </w:r>
      <w:r w:rsidR="00F75B38">
        <w:t xml:space="preserve">areas </w:t>
      </w:r>
      <w:r>
        <w:t>may apply to issues relating to family for people with disabilities:</w:t>
      </w:r>
    </w:p>
    <w:p w:rsidR="00C6586B" w:rsidRDefault="00C6586B" w:rsidP="00C6586B">
      <w:pPr>
        <w:pStyle w:val="ListParagraph"/>
        <w:numPr>
          <w:ilvl w:val="0"/>
          <w:numId w:val="2"/>
        </w:numPr>
      </w:pPr>
      <w:r>
        <w:t xml:space="preserve">UN </w:t>
      </w:r>
      <w:r w:rsidRPr="00D02181">
        <w:t>Convention on the Rights of Persons with a Disability</w:t>
      </w:r>
    </w:p>
    <w:p w:rsidR="00C6586B" w:rsidRDefault="00C6586B" w:rsidP="00C6586B">
      <w:pPr>
        <w:pStyle w:val="ListParagraph"/>
        <w:numPr>
          <w:ilvl w:val="1"/>
          <w:numId w:val="2"/>
        </w:numPr>
      </w:pPr>
      <w:r>
        <w:t>Article 7: Children with disabilities</w:t>
      </w:r>
    </w:p>
    <w:p w:rsidR="00C6586B" w:rsidRDefault="00C6586B" w:rsidP="00C6586B">
      <w:pPr>
        <w:pStyle w:val="ListParagraph"/>
        <w:numPr>
          <w:ilvl w:val="1"/>
          <w:numId w:val="2"/>
        </w:numPr>
      </w:pPr>
      <w:r>
        <w:t>Article 10: Right to life</w:t>
      </w:r>
    </w:p>
    <w:p w:rsidR="00C6586B" w:rsidRDefault="00C6586B" w:rsidP="00C6586B">
      <w:pPr>
        <w:pStyle w:val="ListParagraph"/>
        <w:numPr>
          <w:ilvl w:val="1"/>
          <w:numId w:val="2"/>
        </w:numPr>
      </w:pPr>
      <w:r>
        <w:t>Article 23: Respect for home and the family</w:t>
      </w:r>
    </w:p>
    <w:p w:rsidR="00F75B38" w:rsidRDefault="00F75B38" w:rsidP="00D55D8F">
      <w:pPr>
        <w:pStyle w:val="ListParagraph"/>
        <w:ind w:left="1440"/>
      </w:pPr>
    </w:p>
    <w:p w:rsidR="00C6586B" w:rsidRPr="002D3DEC" w:rsidRDefault="00C6586B" w:rsidP="00C6586B">
      <w:pPr>
        <w:pStyle w:val="ListParagraph"/>
        <w:numPr>
          <w:ilvl w:val="0"/>
          <w:numId w:val="2"/>
        </w:numPr>
      </w:pPr>
      <w:r w:rsidRPr="00C610AD">
        <w:rPr>
          <w:rFonts w:cs="Arial"/>
        </w:rPr>
        <w:t xml:space="preserve">Victorian Charter of Human </w:t>
      </w:r>
      <w:r w:rsidR="00F75B38">
        <w:rPr>
          <w:rFonts w:cs="Arial"/>
        </w:rPr>
        <w:t>R</w:t>
      </w:r>
      <w:r w:rsidRPr="00C610AD">
        <w:rPr>
          <w:rFonts w:cs="Arial"/>
        </w:rPr>
        <w:t>ights and Responsibilities</w:t>
      </w:r>
    </w:p>
    <w:p w:rsidR="00C6586B" w:rsidRDefault="00C6586B" w:rsidP="00C6586B">
      <w:pPr>
        <w:pStyle w:val="ListParagraph"/>
        <w:numPr>
          <w:ilvl w:val="1"/>
          <w:numId w:val="2"/>
        </w:numPr>
      </w:pPr>
      <w:r>
        <w:t>Section 9: Right to life</w:t>
      </w:r>
    </w:p>
    <w:p w:rsidR="007B3807" w:rsidRDefault="00C6586B" w:rsidP="007B3807">
      <w:pPr>
        <w:pStyle w:val="ListParagraph"/>
        <w:ind w:left="1440"/>
      </w:pPr>
      <w:r>
        <w:t>Section 17: P</w:t>
      </w:r>
      <w:r w:rsidRPr="00C610AD">
        <w:t>rotection of families and children</w:t>
      </w:r>
      <w:r w:rsidR="007B3807" w:rsidRPr="007B3807">
        <w:t xml:space="preserve"> </w:t>
      </w:r>
    </w:p>
    <w:p w:rsidR="007B3807" w:rsidRDefault="007B3807" w:rsidP="007B3807">
      <w:pPr>
        <w:pStyle w:val="ListParagraph"/>
        <w:numPr>
          <w:ilvl w:val="0"/>
          <w:numId w:val="13"/>
        </w:numPr>
      </w:pPr>
      <w:r>
        <w:rPr>
          <w:rFonts w:cs="Arial"/>
        </w:rPr>
        <w:t>Victorian State Disability Plan Goal 4</w:t>
      </w:r>
    </w:p>
    <w:p w:rsidR="007B3807" w:rsidRDefault="004D5123" w:rsidP="007B3807">
      <w:pPr>
        <w:pStyle w:val="ListParagraph"/>
        <w:numPr>
          <w:ilvl w:val="1"/>
          <w:numId w:val="13"/>
        </w:numPr>
      </w:pPr>
      <w:r>
        <w:t>Outcome area 3</w:t>
      </w:r>
      <w:r w:rsidR="007B3807">
        <w:t xml:space="preserve">: </w:t>
      </w:r>
      <w:r>
        <w:t xml:space="preserve">The role of families and carers is better supported </w:t>
      </w:r>
    </w:p>
    <w:p w:rsidR="00C6586B" w:rsidRPr="00C610AD" w:rsidRDefault="00C6586B" w:rsidP="004D5123"/>
    <w:p w:rsidR="00C6586B" w:rsidRDefault="00C6586B" w:rsidP="00C6586B">
      <w:pPr>
        <w:pStyle w:val="Heading3"/>
      </w:pPr>
      <w:r>
        <w:t>Case study 7: Cynthia</w:t>
      </w:r>
    </w:p>
    <w:p w:rsidR="00C6586B" w:rsidRPr="00C6586B" w:rsidRDefault="00C6586B" w:rsidP="00C6586B">
      <w:r w:rsidRPr="00C6586B">
        <w:t>Cynthia</w:t>
      </w:r>
      <w:r>
        <w:t>*</w:t>
      </w:r>
      <w:r w:rsidRPr="00C6586B">
        <w:t xml:space="preserve"> was very distressed because her children had been removed from her home by child protection services for reasons she did not understand. Cynthia, an Aboriginal woman with an intellectual disability, was </w:t>
      </w:r>
      <w:r w:rsidR="00F75B38">
        <w:t>un</w:t>
      </w:r>
      <w:r w:rsidRPr="00C6586B">
        <w:t xml:space="preserve">able to </w:t>
      </w:r>
      <w:r w:rsidR="00F75B38">
        <w:t>obtain</w:t>
      </w:r>
      <w:r w:rsidR="00F75B38" w:rsidRPr="00C6586B">
        <w:t xml:space="preserve"> </w:t>
      </w:r>
      <w:r w:rsidRPr="00C6586B">
        <w:t>assistance from the local Aboriginal cooperative because she did not have any proof of her aboriginality. With assistance from a dis</w:t>
      </w:r>
      <w:r>
        <w:t xml:space="preserve">ability advocacy organisation, </w:t>
      </w:r>
      <w:r w:rsidRPr="00C6586B">
        <w:t xml:space="preserve">Cynthia learned that she was entitled to use the service of another Aboriginal </w:t>
      </w:r>
      <w:r w:rsidR="00F75B38">
        <w:t>c</w:t>
      </w:r>
      <w:r w:rsidRPr="00C6586B">
        <w:t xml:space="preserve">ooperative </w:t>
      </w:r>
      <w:r w:rsidR="00F75B38">
        <w:t>that</w:t>
      </w:r>
      <w:r w:rsidR="00F75B38" w:rsidRPr="00C6586B">
        <w:t xml:space="preserve"> </w:t>
      </w:r>
      <w:r w:rsidRPr="00C6586B">
        <w:t>did not require her to provide proof of aboriginality. The matter is now being investigated and Cynthia has been pro</w:t>
      </w:r>
      <w:r>
        <w:t>vided with legal representation</w:t>
      </w:r>
      <w:r w:rsidR="00F75B38">
        <w:t>.</w:t>
      </w:r>
    </w:p>
    <w:p w:rsidR="00C6586B" w:rsidRPr="009510BF" w:rsidRDefault="00C6586B" w:rsidP="00C6586B">
      <w:pPr>
        <w:rPr>
          <w:sz w:val="18"/>
          <w:szCs w:val="18"/>
        </w:rPr>
      </w:pPr>
      <w:r w:rsidRPr="009510BF">
        <w:rPr>
          <w:sz w:val="18"/>
          <w:szCs w:val="18"/>
        </w:rPr>
        <w:t xml:space="preserve">* Names </w:t>
      </w:r>
      <w:r>
        <w:rPr>
          <w:sz w:val="18"/>
          <w:szCs w:val="18"/>
        </w:rPr>
        <w:t>are invented</w:t>
      </w:r>
      <w:r w:rsidRPr="009510BF">
        <w:rPr>
          <w:sz w:val="18"/>
          <w:szCs w:val="18"/>
        </w:rPr>
        <w:t xml:space="preserve"> to protect the identity of individuals.</w:t>
      </w:r>
    </w:p>
    <w:p w:rsidR="00D55D8F" w:rsidRDefault="00D55D8F">
      <w:pPr>
        <w:rPr>
          <w:rFonts w:ascii="Century Gothic" w:eastAsiaTheme="majorEastAsia" w:hAnsi="Century Gothic" w:cstheme="majorBidi"/>
          <w:b/>
          <w:bCs/>
          <w:sz w:val="26"/>
          <w:szCs w:val="26"/>
        </w:rPr>
      </w:pPr>
      <w:r>
        <w:br w:type="page"/>
      </w:r>
    </w:p>
    <w:p w:rsidR="00C6586B" w:rsidRDefault="00AF5031" w:rsidP="00D04C59">
      <w:pPr>
        <w:pStyle w:val="Heading2"/>
      </w:pPr>
      <w:r>
        <w:lastRenderedPageBreak/>
        <w:t>3</w:t>
      </w:r>
      <w:r w:rsidR="00C6586B" w:rsidRPr="00D04C59">
        <w:t xml:space="preserve">.6 </w:t>
      </w:r>
      <w:r w:rsidR="00D04C59" w:rsidRPr="00D04C59">
        <w:t>Legal</w:t>
      </w:r>
    </w:p>
    <w:p w:rsidR="00D04C59" w:rsidRDefault="00D04C59" w:rsidP="00D04C59">
      <w:r>
        <w:t>On average each quarter, disability ad</w:t>
      </w:r>
      <w:r w:rsidR="002B7E87">
        <w:t>vocacy organisations reported 36</w:t>
      </w:r>
      <w:r>
        <w:t xml:space="preserve"> people were provided with advocacy assistance on legal issues. This was the sixth highest number of people for an individual topic.</w:t>
      </w:r>
    </w:p>
    <w:p w:rsidR="00D04C59" w:rsidRDefault="00D04C59" w:rsidP="00D04C59">
      <w:r>
        <w:t>The following human rights</w:t>
      </w:r>
      <w:r w:rsidR="00F75B38">
        <w:t xml:space="preserve"> areas</w:t>
      </w:r>
      <w:r>
        <w:t xml:space="preserve"> may ap</w:t>
      </w:r>
      <w:r w:rsidR="002B7E87">
        <w:t>ply to issues relating to the law</w:t>
      </w:r>
      <w:r>
        <w:t xml:space="preserve"> for people with disabilities:</w:t>
      </w:r>
    </w:p>
    <w:p w:rsidR="00D04C59" w:rsidRDefault="00D04C59" w:rsidP="00D04C59">
      <w:pPr>
        <w:pStyle w:val="ListParagraph"/>
        <w:numPr>
          <w:ilvl w:val="0"/>
          <w:numId w:val="2"/>
        </w:numPr>
      </w:pPr>
      <w:r>
        <w:t xml:space="preserve">UN </w:t>
      </w:r>
      <w:r w:rsidRPr="00D02181">
        <w:t>Convention on the Rights of Persons with a Disability</w:t>
      </w:r>
    </w:p>
    <w:p w:rsidR="00D04C59" w:rsidRDefault="00D04C59" w:rsidP="00D04C59">
      <w:pPr>
        <w:pStyle w:val="ListParagraph"/>
        <w:numPr>
          <w:ilvl w:val="1"/>
          <w:numId w:val="2"/>
        </w:numPr>
      </w:pPr>
      <w:r>
        <w:t xml:space="preserve">Article 5: </w:t>
      </w:r>
      <w:r w:rsidRPr="00D04C59">
        <w:rPr>
          <w:rFonts w:cs="Arial"/>
        </w:rPr>
        <w:t xml:space="preserve">Equality and non-discrimination </w:t>
      </w:r>
    </w:p>
    <w:p w:rsidR="002B7E87" w:rsidRDefault="002B7E87" w:rsidP="002B7E87">
      <w:pPr>
        <w:pStyle w:val="ListParagraph"/>
        <w:numPr>
          <w:ilvl w:val="1"/>
          <w:numId w:val="2"/>
        </w:numPr>
      </w:pPr>
      <w:r>
        <w:rPr>
          <w:rFonts w:cs="Arial"/>
        </w:rPr>
        <w:t xml:space="preserve">Article 12: </w:t>
      </w:r>
      <w:r w:rsidRPr="00D04C59">
        <w:rPr>
          <w:rFonts w:cs="Arial"/>
        </w:rPr>
        <w:t>Equal recognition before the law</w:t>
      </w:r>
    </w:p>
    <w:p w:rsidR="00D04C59" w:rsidRPr="00F75B38" w:rsidRDefault="002B7E87" w:rsidP="00D04C59">
      <w:pPr>
        <w:pStyle w:val="ListParagraph"/>
        <w:numPr>
          <w:ilvl w:val="1"/>
          <w:numId w:val="2"/>
        </w:numPr>
      </w:pPr>
      <w:r>
        <w:t>Article 13</w:t>
      </w:r>
      <w:r w:rsidR="00D04C59">
        <w:t xml:space="preserve">: </w:t>
      </w:r>
      <w:r>
        <w:rPr>
          <w:rFonts w:cs="Arial"/>
        </w:rPr>
        <w:t>Access to justice</w:t>
      </w:r>
    </w:p>
    <w:p w:rsidR="00F75B38" w:rsidRDefault="00F75B38" w:rsidP="00D55D8F">
      <w:pPr>
        <w:pStyle w:val="ListParagraph"/>
        <w:ind w:left="1440"/>
      </w:pPr>
    </w:p>
    <w:p w:rsidR="00D04C59" w:rsidRPr="002D3DEC" w:rsidRDefault="00D04C59" w:rsidP="00D04C59">
      <w:pPr>
        <w:pStyle w:val="ListParagraph"/>
        <w:numPr>
          <w:ilvl w:val="0"/>
          <w:numId w:val="2"/>
        </w:numPr>
      </w:pPr>
      <w:r w:rsidRPr="00C610AD">
        <w:rPr>
          <w:rFonts w:cs="Arial"/>
        </w:rPr>
        <w:t xml:space="preserve">Victorian Charter of Human </w:t>
      </w:r>
      <w:r w:rsidR="00F75B38">
        <w:rPr>
          <w:rFonts w:cs="Arial"/>
        </w:rPr>
        <w:t>R</w:t>
      </w:r>
      <w:r w:rsidRPr="00C610AD">
        <w:rPr>
          <w:rFonts w:cs="Arial"/>
        </w:rPr>
        <w:t>ights and Responsibilities</w:t>
      </w:r>
    </w:p>
    <w:p w:rsidR="002B7E87" w:rsidRPr="002B7E87" w:rsidRDefault="00D04C59" w:rsidP="00D04C59">
      <w:pPr>
        <w:pStyle w:val="ListParagraph"/>
        <w:numPr>
          <w:ilvl w:val="1"/>
          <w:numId w:val="2"/>
        </w:numPr>
      </w:pPr>
      <w:r>
        <w:t>Section 8:</w:t>
      </w:r>
      <w:r w:rsidRPr="00D04C59">
        <w:rPr>
          <w:rFonts w:cs="Arial"/>
        </w:rPr>
        <w:t xml:space="preserve"> </w:t>
      </w:r>
      <w:r w:rsidR="002B7E87" w:rsidRPr="00D04C59">
        <w:rPr>
          <w:rFonts w:cs="Arial"/>
        </w:rPr>
        <w:t>Equality and non-discrimination</w:t>
      </w:r>
    </w:p>
    <w:p w:rsidR="002B7E87" w:rsidRDefault="002B7E87" w:rsidP="002B7E87">
      <w:pPr>
        <w:pStyle w:val="ListParagraph"/>
        <w:numPr>
          <w:ilvl w:val="1"/>
          <w:numId w:val="2"/>
        </w:numPr>
      </w:pPr>
      <w:r>
        <w:t>Section 23: Children in the criminal process</w:t>
      </w:r>
    </w:p>
    <w:p w:rsidR="002B7E87" w:rsidRDefault="002B7E87" w:rsidP="002B7E87">
      <w:pPr>
        <w:pStyle w:val="ListParagraph"/>
        <w:numPr>
          <w:ilvl w:val="1"/>
          <w:numId w:val="2"/>
        </w:numPr>
      </w:pPr>
      <w:r>
        <w:t>Section 24: A fair hearing</w:t>
      </w:r>
    </w:p>
    <w:p w:rsidR="009A6725" w:rsidRDefault="00D04C59" w:rsidP="009A6725">
      <w:pPr>
        <w:pStyle w:val="ListParagraph"/>
        <w:ind w:left="1440"/>
      </w:pPr>
      <w:r>
        <w:t xml:space="preserve">Section </w:t>
      </w:r>
      <w:r w:rsidR="002B7E87">
        <w:t>25: Rights in criminal proceedings</w:t>
      </w:r>
      <w:r w:rsidR="009A6725" w:rsidRPr="009A6725">
        <w:t xml:space="preserve"> </w:t>
      </w:r>
    </w:p>
    <w:p w:rsidR="009A6725" w:rsidRDefault="009A6725" w:rsidP="009A6725">
      <w:pPr>
        <w:pStyle w:val="ListParagraph"/>
        <w:numPr>
          <w:ilvl w:val="0"/>
          <w:numId w:val="13"/>
        </w:numPr>
      </w:pPr>
      <w:r>
        <w:rPr>
          <w:rFonts w:cs="Arial"/>
        </w:rPr>
        <w:t>Victorian State Disability Plan Goal 2</w:t>
      </w:r>
    </w:p>
    <w:p w:rsidR="009A6725" w:rsidRDefault="009A6725" w:rsidP="009A6725">
      <w:pPr>
        <w:pStyle w:val="ListParagraph"/>
        <w:numPr>
          <w:ilvl w:val="1"/>
          <w:numId w:val="13"/>
        </w:numPr>
      </w:pPr>
      <w:r>
        <w:t xml:space="preserve">Outcome area 1: Better protection of human rights </w:t>
      </w:r>
    </w:p>
    <w:p w:rsidR="003B121D" w:rsidRDefault="003B121D" w:rsidP="009A6725"/>
    <w:p w:rsidR="00D04C59" w:rsidRDefault="002B7E87" w:rsidP="002B7E87">
      <w:pPr>
        <w:pStyle w:val="Heading3"/>
      </w:pPr>
      <w:r>
        <w:t>Case study 8: Simon</w:t>
      </w:r>
    </w:p>
    <w:p w:rsidR="002B7E87" w:rsidRDefault="002B7E87" w:rsidP="002B7E87">
      <w:r w:rsidRPr="002B7E87">
        <w:t>Simon</w:t>
      </w:r>
      <w:r>
        <w:t>*</w:t>
      </w:r>
      <w:r w:rsidRPr="002B7E87">
        <w:t xml:space="preserve"> applied for the disability support pension (DSP) and was placed on the </w:t>
      </w:r>
      <w:proofErr w:type="spellStart"/>
      <w:r w:rsidRPr="002B7E87">
        <w:t>New</w:t>
      </w:r>
      <w:r w:rsidR="0020020F">
        <w:t>s</w:t>
      </w:r>
      <w:r w:rsidRPr="002B7E87">
        <w:t>tart</w:t>
      </w:r>
      <w:proofErr w:type="spellEnd"/>
      <w:r w:rsidRPr="002B7E87">
        <w:t xml:space="preserve"> Allowance. He appealed the decision with no success. He approached a regional disability advocacy organisation to assist with lodgement of a formal appeal. Simon was granted the DSP and provided with </w:t>
      </w:r>
      <w:proofErr w:type="spellStart"/>
      <w:r w:rsidRPr="002B7E87">
        <w:t>backpay</w:t>
      </w:r>
      <w:proofErr w:type="spellEnd"/>
      <w:r w:rsidRPr="002B7E87">
        <w:t>.</w:t>
      </w:r>
    </w:p>
    <w:p w:rsidR="002B7E87" w:rsidRPr="009510BF" w:rsidRDefault="002B7E87" w:rsidP="002B7E87">
      <w:pPr>
        <w:rPr>
          <w:sz w:val="18"/>
          <w:szCs w:val="18"/>
        </w:rPr>
      </w:pPr>
      <w:r w:rsidRPr="009510BF">
        <w:rPr>
          <w:sz w:val="18"/>
          <w:szCs w:val="18"/>
        </w:rPr>
        <w:t xml:space="preserve">* Names </w:t>
      </w:r>
      <w:r>
        <w:rPr>
          <w:sz w:val="18"/>
          <w:szCs w:val="18"/>
        </w:rPr>
        <w:t>are invented</w:t>
      </w:r>
      <w:r w:rsidRPr="009510BF">
        <w:rPr>
          <w:sz w:val="18"/>
          <w:szCs w:val="18"/>
        </w:rPr>
        <w:t xml:space="preserve"> to protect the identity of individuals.</w:t>
      </w:r>
    </w:p>
    <w:p w:rsidR="002B7E87" w:rsidRDefault="002B7E87" w:rsidP="002B7E87"/>
    <w:p w:rsidR="003B121D" w:rsidRDefault="003B121D">
      <w:pPr>
        <w:rPr>
          <w:rFonts w:ascii="Century Gothic" w:eastAsiaTheme="majorEastAsia" w:hAnsi="Century Gothic" w:cstheme="majorBidi"/>
          <w:b/>
          <w:bCs/>
          <w:sz w:val="26"/>
          <w:szCs w:val="26"/>
        </w:rPr>
      </w:pPr>
      <w:r>
        <w:br w:type="page"/>
      </w:r>
    </w:p>
    <w:p w:rsidR="002B7E87" w:rsidRDefault="00AF5031" w:rsidP="002B7E87">
      <w:pPr>
        <w:pStyle w:val="Heading2"/>
      </w:pPr>
      <w:r>
        <w:lastRenderedPageBreak/>
        <w:t>3</w:t>
      </w:r>
      <w:r w:rsidR="002B7E87">
        <w:t>.7 Abuse and Neglect</w:t>
      </w:r>
    </w:p>
    <w:p w:rsidR="002B7E87" w:rsidRDefault="002B7E87" w:rsidP="002B7E87">
      <w:r>
        <w:t>On average each quarter, disability advocacy organisations reported 35 people were provided with advocacy assistance on abuse and neglect. This was the seventh highest number of people for an individual topic.</w:t>
      </w:r>
    </w:p>
    <w:p w:rsidR="002B7E87" w:rsidRDefault="002B7E87" w:rsidP="002B7E87">
      <w:r>
        <w:t xml:space="preserve">The following human rights </w:t>
      </w:r>
      <w:r w:rsidR="00F75B38">
        <w:t xml:space="preserve">areas </w:t>
      </w:r>
      <w:r>
        <w:t>may apply to issues relating to abuse and neglect for people with disabilities:</w:t>
      </w:r>
    </w:p>
    <w:p w:rsidR="002B7E87" w:rsidRDefault="002B7E87" w:rsidP="002B7E87">
      <w:pPr>
        <w:pStyle w:val="ListParagraph"/>
        <w:numPr>
          <w:ilvl w:val="0"/>
          <w:numId w:val="2"/>
        </w:numPr>
      </w:pPr>
      <w:r>
        <w:t xml:space="preserve">UN </w:t>
      </w:r>
      <w:r w:rsidRPr="00D02181">
        <w:t>Convention on the Rights of Persons with a Disability</w:t>
      </w:r>
    </w:p>
    <w:p w:rsidR="003B121D" w:rsidRDefault="003B121D" w:rsidP="003B121D">
      <w:pPr>
        <w:pStyle w:val="ListParagraph"/>
        <w:numPr>
          <w:ilvl w:val="1"/>
          <w:numId w:val="2"/>
        </w:numPr>
      </w:pPr>
      <w:r>
        <w:t>Article 14</w:t>
      </w:r>
      <w:r w:rsidR="002B7E87">
        <w:t xml:space="preserve">: </w:t>
      </w:r>
      <w:r>
        <w:t>Liberty and security of the person</w:t>
      </w:r>
    </w:p>
    <w:p w:rsidR="002B7E87" w:rsidRDefault="003B121D" w:rsidP="002B7E87">
      <w:pPr>
        <w:pStyle w:val="ListParagraph"/>
        <w:numPr>
          <w:ilvl w:val="1"/>
          <w:numId w:val="2"/>
        </w:numPr>
      </w:pPr>
      <w:r>
        <w:rPr>
          <w:rFonts w:cs="Arial"/>
        </w:rPr>
        <w:t>Article 15</w:t>
      </w:r>
      <w:r w:rsidR="002B7E87">
        <w:rPr>
          <w:rFonts w:cs="Arial"/>
        </w:rPr>
        <w:t xml:space="preserve">: </w:t>
      </w:r>
      <w:r>
        <w:t>Freedom from torture or cruel inhuman or degrading treatment or punishment</w:t>
      </w:r>
    </w:p>
    <w:p w:rsidR="002B7E87" w:rsidRDefault="003B121D" w:rsidP="002B7E87">
      <w:pPr>
        <w:pStyle w:val="ListParagraph"/>
        <w:numPr>
          <w:ilvl w:val="1"/>
          <w:numId w:val="2"/>
        </w:numPr>
      </w:pPr>
      <w:r>
        <w:t>Article 16</w:t>
      </w:r>
      <w:r w:rsidR="002B7E87">
        <w:t xml:space="preserve">: </w:t>
      </w:r>
      <w:r>
        <w:t>Freedom from exploitation violence and abuse</w:t>
      </w:r>
    </w:p>
    <w:p w:rsidR="003B121D" w:rsidRDefault="003B121D" w:rsidP="002B7E87">
      <w:pPr>
        <w:pStyle w:val="ListParagraph"/>
        <w:numPr>
          <w:ilvl w:val="1"/>
          <w:numId w:val="2"/>
        </w:numPr>
      </w:pPr>
      <w:r>
        <w:t>Article 17: Protecting the integrity of the person</w:t>
      </w:r>
    </w:p>
    <w:p w:rsidR="003B121D" w:rsidRDefault="003B121D" w:rsidP="002B7E87">
      <w:pPr>
        <w:pStyle w:val="ListParagraph"/>
        <w:numPr>
          <w:ilvl w:val="1"/>
          <w:numId w:val="2"/>
        </w:numPr>
      </w:pPr>
      <w:r>
        <w:t>Article 22:</w:t>
      </w:r>
      <w:r w:rsidRPr="003B121D">
        <w:t xml:space="preserve"> </w:t>
      </w:r>
      <w:r>
        <w:t>Respect for privacy</w:t>
      </w:r>
    </w:p>
    <w:p w:rsidR="00F75B38" w:rsidRDefault="00F75B38" w:rsidP="00D55D8F">
      <w:pPr>
        <w:pStyle w:val="ListParagraph"/>
        <w:ind w:left="1440"/>
      </w:pPr>
    </w:p>
    <w:p w:rsidR="002B7E87" w:rsidRPr="002D3DEC" w:rsidRDefault="002B7E87" w:rsidP="002B7E87">
      <w:pPr>
        <w:pStyle w:val="ListParagraph"/>
        <w:numPr>
          <w:ilvl w:val="0"/>
          <w:numId w:val="2"/>
        </w:numPr>
      </w:pPr>
      <w:r w:rsidRPr="00C610AD">
        <w:rPr>
          <w:rFonts w:cs="Arial"/>
        </w:rPr>
        <w:t xml:space="preserve">Victorian Charter of Human </w:t>
      </w:r>
      <w:r w:rsidR="00F75B38">
        <w:rPr>
          <w:rFonts w:cs="Arial"/>
        </w:rPr>
        <w:t>R</w:t>
      </w:r>
      <w:r w:rsidRPr="00C610AD">
        <w:rPr>
          <w:rFonts w:cs="Arial"/>
        </w:rPr>
        <w:t>ights and Responsibilities</w:t>
      </w:r>
    </w:p>
    <w:p w:rsidR="002B7E87" w:rsidRDefault="003B121D" w:rsidP="002B7E87">
      <w:pPr>
        <w:pStyle w:val="ListParagraph"/>
        <w:numPr>
          <w:ilvl w:val="1"/>
          <w:numId w:val="2"/>
        </w:numPr>
      </w:pPr>
      <w:r>
        <w:t>Section 10</w:t>
      </w:r>
      <w:r w:rsidR="002B7E87">
        <w:t xml:space="preserve">: </w:t>
      </w:r>
      <w:r>
        <w:t>Freedom from torture or cruel inhuman or degrading treatment or punishment</w:t>
      </w:r>
    </w:p>
    <w:p w:rsidR="002B7E87" w:rsidRDefault="003B121D" w:rsidP="002B7E87">
      <w:pPr>
        <w:pStyle w:val="ListParagraph"/>
        <w:numPr>
          <w:ilvl w:val="1"/>
          <w:numId w:val="2"/>
        </w:numPr>
      </w:pPr>
      <w:r>
        <w:t>Section 13</w:t>
      </w:r>
      <w:r w:rsidR="002B7E87">
        <w:t xml:space="preserve">: </w:t>
      </w:r>
      <w:r>
        <w:t>Respect for privacy</w:t>
      </w:r>
    </w:p>
    <w:p w:rsidR="003B121D" w:rsidRPr="002B7E87" w:rsidRDefault="003B121D" w:rsidP="003B121D">
      <w:pPr>
        <w:pStyle w:val="ListParagraph"/>
        <w:numPr>
          <w:ilvl w:val="1"/>
          <w:numId w:val="2"/>
        </w:numPr>
      </w:pPr>
      <w:r>
        <w:t>Section 21:</w:t>
      </w:r>
      <w:r w:rsidRPr="00D04C59">
        <w:rPr>
          <w:rFonts w:cs="Arial"/>
        </w:rPr>
        <w:t xml:space="preserve"> </w:t>
      </w:r>
      <w:r>
        <w:t>Liberty and security of the person</w:t>
      </w:r>
    </w:p>
    <w:p w:rsidR="00333973" w:rsidRDefault="003B121D" w:rsidP="00333973">
      <w:pPr>
        <w:pStyle w:val="ListParagraph"/>
        <w:ind w:left="1440"/>
      </w:pPr>
      <w:r>
        <w:t>Section 22</w:t>
      </w:r>
      <w:r w:rsidR="002B7E87">
        <w:t xml:space="preserve">: </w:t>
      </w:r>
      <w:r>
        <w:t>Humane treatment when deprived of liberty</w:t>
      </w:r>
      <w:r w:rsidR="00333973" w:rsidRPr="00333973">
        <w:t xml:space="preserve"> </w:t>
      </w:r>
    </w:p>
    <w:p w:rsidR="00333973" w:rsidRDefault="00333973" w:rsidP="00333973">
      <w:pPr>
        <w:pStyle w:val="ListParagraph"/>
        <w:numPr>
          <w:ilvl w:val="0"/>
          <w:numId w:val="13"/>
        </w:numPr>
      </w:pPr>
      <w:r>
        <w:rPr>
          <w:rFonts w:cs="Arial"/>
        </w:rPr>
        <w:t>Victorian State Disability Plan Goal 2</w:t>
      </w:r>
    </w:p>
    <w:p w:rsidR="002B7E87" w:rsidRDefault="00333973" w:rsidP="00333973">
      <w:pPr>
        <w:pStyle w:val="ListParagraph"/>
        <w:numPr>
          <w:ilvl w:val="1"/>
          <w:numId w:val="13"/>
        </w:numPr>
      </w:pPr>
      <w:r>
        <w:t xml:space="preserve">Outcome area 1: Better protection of human rights </w:t>
      </w:r>
    </w:p>
    <w:p w:rsidR="003B121D" w:rsidRDefault="003B121D" w:rsidP="003B121D">
      <w:pPr>
        <w:pStyle w:val="Heading3"/>
      </w:pPr>
    </w:p>
    <w:p w:rsidR="002B7E87" w:rsidRDefault="003B121D" w:rsidP="003B121D">
      <w:pPr>
        <w:pStyle w:val="Heading3"/>
      </w:pPr>
      <w:r>
        <w:t>Case study 9: Rachel</w:t>
      </w:r>
    </w:p>
    <w:p w:rsidR="003B121D" w:rsidRDefault="003B121D" w:rsidP="002B7E87">
      <w:r w:rsidRPr="003B121D">
        <w:t>Rachel</w:t>
      </w:r>
      <w:r>
        <w:t>*</w:t>
      </w:r>
      <w:r w:rsidRPr="003B121D">
        <w:t xml:space="preserve"> is the mother of two young children with disabilities. She has experienced family violence and required immediate support to remove herself and her children from the home. Rachel doesn’t speak English. She also has depression. A state</w:t>
      </w:r>
      <w:r>
        <w:t>-</w:t>
      </w:r>
      <w:r w:rsidRPr="003B121D">
        <w:t>wide specialist di</w:t>
      </w:r>
      <w:r>
        <w:t xml:space="preserve">sability advocacy organisation </w:t>
      </w:r>
      <w:r w:rsidRPr="003B121D">
        <w:t>supported Rachel to apply for long term secure housing and put her in touch with</w:t>
      </w:r>
      <w:r>
        <w:t xml:space="preserve"> </w:t>
      </w:r>
      <w:r w:rsidR="00F75B38">
        <w:t>a</w:t>
      </w:r>
      <w:r w:rsidR="00F75B38" w:rsidRPr="003B121D">
        <w:t xml:space="preserve"> </w:t>
      </w:r>
      <w:r w:rsidR="00F75B38">
        <w:t>f</w:t>
      </w:r>
      <w:r w:rsidR="00F75B38" w:rsidRPr="003B121D">
        <w:t xml:space="preserve">amily </w:t>
      </w:r>
      <w:r w:rsidR="00F75B38">
        <w:t>v</w:t>
      </w:r>
      <w:r w:rsidR="00F75B38" w:rsidRPr="003B121D">
        <w:t xml:space="preserve">iolence </w:t>
      </w:r>
      <w:r w:rsidRPr="003B121D">
        <w:t xml:space="preserve">centre. She has been allocated a case worker and has been placed in secure emergency housing with her children.  </w:t>
      </w:r>
    </w:p>
    <w:p w:rsidR="003B121D" w:rsidRPr="009510BF" w:rsidRDefault="003B121D" w:rsidP="003B121D">
      <w:pPr>
        <w:rPr>
          <w:sz w:val="18"/>
          <w:szCs w:val="18"/>
        </w:rPr>
      </w:pPr>
      <w:r w:rsidRPr="009510BF">
        <w:rPr>
          <w:sz w:val="18"/>
          <w:szCs w:val="18"/>
        </w:rPr>
        <w:t xml:space="preserve">* Names </w:t>
      </w:r>
      <w:r>
        <w:rPr>
          <w:sz w:val="18"/>
          <w:szCs w:val="18"/>
        </w:rPr>
        <w:t>are invented</w:t>
      </w:r>
      <w:r w:rsidRPr="009510BF">
        <w:rPr>
          <w:sz w:val="18"/>
          <w:szCs w:val="18"/>
        </w:rPr>
        <w:t xml:space="preserve"> to protect the identity of individuals.</w:t>
      </w:r>
    </w:p>
    <w:p w:rsidR="003B121D" w:rsidRPr="002B7E87" w:rsidRDefault="003B121D" w:rsidP="002B7E87"/>
    <w:p w:rsidR="003B121D" w:rsidRDefault="003B121D">
      <w:r>
        <w:br w:type="page"/>
      </w:r>
    </w:p>
    <w:p w:rsidR="002B7E87" w:rsidRDefault="00AF5031" w:rsidP="003B121D">
      <w:pPr>
        <w:pStyle w:val="Heading2"/>
      </w:pPr>
      <w:r>
        <w:lastRenderedPageBreak/>
        <w:t>3</w:t>
      </w:r>
      <w:r w:rsidR="002B7E87">
        <w:t xml:space="preserve">.8 Leisure and </w:t>
      </w:r>
      <w:r w:rsidR="00F75B38">
        <w:t>r</w:t>
      </w:r>
      <w:r w:rsidR="002B7E87">
        <w:t>ecreation</w:t>
      </w:r>
    </w:p>
    <w:p w:rsidR="003B121D" w:rsidRDefault="003B121D" w:rsidP="003B121D">
      <w:r>
        <w:t>On average each quarter, disability advocacy organisations reported 22 people were provided with advocacy assistance on leisure and recreation. This was the eighth highest number of people for an individual topic.</w:t>
      </w:r>
    </w:p>
    <w:p w:rsidR="003B121D" w:rsidRDefault="003B121D" w:rsidP="003B121D">
      <w:r>
        <w:t xml:space="preserve">The following human rights </w:t>
      </w:r>
      <w:r w:rsidR="00F75B38">
        <w:t xml:space="preserve">areas </w:t>
      </w:r>
      <w:r>
        <w:t xml:space="preserve">may apply to issues relating to </w:t>
      </w:r>
      <w:r w:rsidR="0002129D">
        <w:t>leisure and recreation</w:t>
      </w:r>
      <w:r>
        <w:t xml:space="preserve"> for people with disabilities:</w:t>
      </w:r>
    </w:p>
    <w:p w:rsidR="003B121D" w:rsidRDefault="003B121D" w:rsidP="003B121D">
      <w:pPr>
        <w:pStyle w:val="ListParagraph"/>
        <w:numPr>
          <w:ilvl w:val="0"/>
          <w:numId w:val="2"/>
        </w:numPr>
      </w:pPr>
      <w:r>
        <w:t xml:space="preserve">UN </w:t>
      </w:r>
      <w:r w:rsidRPr="00D02181">
        <w:t>Convention on the Rights of Persons with a Disability</w:t>
      </w:r>
    </w:p>
    <w:p w:rsidR="003B121D" w:rsidRDefault="003B121D" w:rsidP="003B121D">
      <w:pPr>
        <w:pStyle w:val="ListParagraph"/>
        <w:numPr>
          <w:ilvl w:val="1"/>
          <w:numId w:val="2"/>
        </w:numPr>
      </w:pPr>
      <w:r>
        <w:t xml:space="preserve">Article 20: Personal </w:t>
      </w:r>
      <w:r w:rsidR="00F75B38">
        <w:t>m</w:t>
      </w:r>
      <w:r>
        <w:t xml:space="preserve">obility </w:t>
      </w:r>
    </w:p>
    <w:p w:rsidR="003B121D" w:rsidRDefault="003B121D" w:rsidP="003B121D">
      <w:pPr>
        <w:pStyle w:val="ListParagraph"/>
        <w:numPr>
          <w:ilvl w:val="1"/>
          <w:numId w:val="2"/>
        </w:numPr>
      </w:pPr>
      <w:r>
        <w:rPr>
          <w:rFonts w:cs="Arial"/>
        </w:rPr>
        <w:t>Article 30</w:t>
      </w:r>
      <w:r w:rsidRPr="003B121D">
        <w:rPr>
          <w:rFonts w:cs="Arial"/>
        </w:rPr>
        <w:t xml:space="preserve">: </w:t>
      </w:r>
      <w:r>
        <w:t>Participation in cultural life recreation, leisure and sport</w:t>
      </w:r>
    </w:p>
    <w:p w:rsidR="00F75B38" w:rsidRDefault="00F75B38" w:rsidP="00D55D8F">
      <w:pPr>
        <w:pStyle w:val="ListParagraph"/>
        <w:ind w:left="1440"/>
      </w:pPr>
    </w:p>
    <w:p w:rsidR="003B121D" w:rsidRPr="002D3DEC" w:rsidRDefault="003B121D" w:rsidP="003B121D">
      <w:pPr>
        <w:pStyle w:val="ListParagraph"/>
        <w:numPr>
          <w:ilvl w:val="0"/>
          <w:numId w:val="2"/>
        </w:numPr>
      </w:pPr>
      <w:r w:rsidRPr="00C610AD">
        <w:rPr>
          <w:rFonts w:cs="Arial"/>
        </w:rPr>
        <w:t xml:space="preserve">Victorian Charter of Human </w:t>
      </w:r>
      <w:r w:rsidR="00F75B38">
        <w:rPr>
          <w:rFonts w:cs="Arial"/>
        </w:rPr>
        <w:t>R</w:t>
      </w:r>
      <w:r w:rsidRPr="00C610AD">
        <w:rPr>
          <w:rFonts w:cs="Arial"/>
        </w:rPr>
        <w:t>ights and Responsibilities</w:t>
      </w:r>
    </w:p>
    <w:p w:rsidR="003B121D" w:rsidRDefault="003B121D" w:rsidP="003B121D">
      <w:pPr>
        <w:pStyle w:val="ListParagraph"/>
        <w:numPr>
          <w:ilvl w:val="1"/>
          <w:numId w:val="2"/>
        </w:numPr>
      </w:pPr>
      <w:r>
        <w:t>Section 16: Peaceful assembly and freedom of association</w:t>
      </w:r>
    </w:p>
    <w:p w:rsidR="009C1C68" w:rsidRDefault="003B121D" w:rsidP="009C1C68">
      <w:pPr>
        <w:pStyle w:val="ListParagraph"/>
        <w:ind w:left="1440"/>
      </w:pPr>
      <w:r>
        <w:t>Section 19: Cultural rights</w:t>
      </w:r>
      <w:r w:rsidR="009C1C68" w:rsidRPr="009C1C68">
        <w:t xml:space="preserve"> </w:t>
      </w:r>
    </w:p>
    <w:p w:rsidR="009C1C68" w:rsidRDefault="009C1C68" w:rsidP="009C1C68">
      <w:pPr>
        <w:pStyle w:val="ListParagraph"/>
        <w:numPr>
          <w:ilvl w:val="0"/>
          <w:numId w:val="13"/>
        </w:numPr>
      </w:pPr>
      <w:r>
        <w:rPr>
          <w:rFonts w:cs="Arial"/>
        </w:rPr>
        <w:t>Victorian State Disability Plan Goal 2</w:t>
      </w:r>
    </w:p>
    <w:p w:rsidR="003B121D" w:rsidRDefault="009C1C68" w:rsidP="0095719B">
      <w:pPr>
        <w:pStyle w:val="ListParagraph"/>
        <w:numPr>
          <w:ilvl w:val="1"/>
          <w:numId w:val="13"/>
        </w:numPr>
      </w:pPr>
      <w:r>
        <w:t xml:space="preserve">Outcome area 3: Greater participation in the community </w:t>
      </w:r>
    </w:p>
    <w:p w:rsidR="003B121D" w:rsidRDefault="003B121D" w:rsidP="003B121D">
      <w:pPr>
        <w:pStyle w:val="Heading3"/>
        <w:rPr>
          <w:rFonts w:eastAsiaTheme="minorEastAsia"/>
          <w:lang w:val="en-GB" w:eastAsia="en-AU"/>
        </w:rPr>
      </w:pPr>
      <w:r>
        <w:rPr>
          <w:rFonts w:eastAsiaTheme="minorEastAsia"/>
          <w:lang w:val="en-GB" w:eastAsia="en-AU"/>
        </w:rPr>
        <w:t>Case study 10: Scott</w:t>
      </w:r>
    </w:p>
    <w:p w:rsidR="003B121D" w:rsidRPr="003B121D" w:rsidRDefault="003B121D" w:rsidP="003B121D">
      <w:pPr>
        <w:rPr>
          <w:rFonts w:eastAsiaTheme="minorEastAsia" w:cs="Arial"/>
          <w:szCs w:val="19"/>
          <w:lang w:val="en-GB" w:eastAsia="en-AU"/>
        </w:rPr>
      </w:pPr>
      <w:r w:rsidRPr="003B121D">
        <w:rPr>
          <w:rFonts w:eastAsiaTheme="minorEastAsia" w:cs="Arial"/>
          <w:szCs w:val="19"/>
          <w:lang w:val="en-GB" w:eastAsia="en-AU"/>
        </w:rPr>
        <w:t>Scott</w:t>
      </w:r>
      <w:r>
        <w:rPr>
          <w:rFonts w:eastAsiaTheme="minorEastAsia" w:cs="Arial"/>
          <w:szCs w:val="19"/>
          <w:lang w:val="en-GB" w:eastAsia="en-AU"/>
        </w:rPr>
        <w:t>*</w:t>
      </w:r>
      <w:r w:rsidRPr="003B121D">
        <w:rPr>
          <w:rFonts w:eastAsiaTheme="minorEastAsia" w:cs="Arial"/>
          <w:szCs w:val="19"/>
          <w:lang w:val="en-GB" w:eastAsia="en-AU"/>
        </w:rPr>
        <w:t xml:space="preserve"> is blind. He has a keen in</w:t>
      </w:r>
      <w:r>
        <w:rPr>
          <w:rFonts w:eastAsiaTheme="minorEastAsia" w:cs="Arial"/>
          <w:szCs w:val="19"/>
          <w:lang w:val="en-GB" w:eastAsia="en-AU"/>
        </w:rPr>
        <w:t xml:space="preserve">terest in science and history. </w:t>
      </w:r>
      <w:r w:rsidRPr="003B121D">
        <w:rPr>
          <w:rFonts w:eastAsiaTheme="minorEastAsia" w:cs="Arial"/>
          <w:szCs w:val="19"/>
          <w:lang w:val="en-GB" w:eastAsia="en-AU"/>
        </w:rPr>
        <w:t xml:space="preserve">Before losing his vision, Scott regularly attended exhibitions at the </w:t>
      </w:r>
      <w:r w:rsidR="00F75B38">
        <w:rPr>
          <w:rFonts w:eastAsiaTheme="minorEastAsia" w:cs="Arial"/>
          <w:szCs w:val="19"/>
          <w:lang w:val="en-GB" w:eastAsia="en-AU"/>
        </w:rPr>
        <w:t>m</w:t>
      </w:r>
      <w:r w:rsidRPr="003B121D">
        <w:rPr>
          <w:rFonts w:eastAsiaTheme="minorEastAsia" w:cs="Arial"/>
          <w:szCs w:val="19"/>
          <w:lang w:val="en-GB" w:eastAsia="en-AU"/>
        </w:rPr>
        <w:t xml:space="preserve">useum. Now he finds it difficult to view the </w:t>
      </w:r>
      <w:r w:rsidR="00F75B38">
        <w:rPr>
          <w:rFonts w:eastAsiaTheme="minorEastAsia" w:cs="Arial"/>
          <w:szCs w:val="19"/>
          <w:lang w:val="en-GB" w:eastAsia="en-AU"/>
        </w:rPr>
        <w:t>m</w:t>
      </w:r>
      <w:r w:rsidRPr="003B121D">
        <w:rPr>
          <w:rFonts w:eastAsiaTheme="minorEastAsia" w:cs="Arial"/>
          <w:szCs w:val="19"/>
          <w:lang w:val="en-GB" w:eastAsia="en-AU"/>
        </w:rPr>
        <w:t>useum website and independently navigate his way around the venue. With support from his advocate</w:t>
      </w:r>
      <w:r w:rsidR="00F75B38">
        <w:rPr>
          <w:rFonts w:eastAsiaTheme="minorEastAsia" w:cs="Arial"/>
          <w:szCs w:val="19"/>
          <w:lang w:val="en-GB" w:eastAsia="en-AU"/>
        </w:rPr>
        <w:t>,</w:t>
      </w:r>
      <w:r w:rsidRPr="003B121D">
        <w:rPr>
          <w:rFonts w:eastAsiaTheme="minorEastAsia" w:cs="Arial"/>
          <w:szCs w:val="19"/>
          <w:lang w:val="en-GB" w:eastAsia="en-AU"/>
        </w:rPr>
        <w:t xml:space="preserve"> who provided information about website accessibility guidelines, Scott is better able to navigate his way around the website. </w:t>
      </w:r>
    </w:p>
    <w:p w:rsidR="003B121D" w:rsidRPr="003B121D" w:rsidRDefault="003B121D" w:rsidP="002B7E87">
      <w:pPr>
        <w:rPr>
          <w:sz w:val="18"/>
          <w:szCs w:val="18"/>
        </w:rPr>
      </w:pPr>
      <w:r w:rsidRPr="009510BF">
        <w:rPr>
          <w:sz w:val="18"/>
          <w:szCs w:val="18"/>
        </w:rPr>
        <w:t xml:space="preserve">* Names </w:t>
      </w:r>
      <w:r>
        <w:rPr>
          <w:sz w:val="18"/>
          <w:szCs w:val="18"/>
        </w:rPr>
        <w:t>are invented</w:t>
      </w:r>
      <w:r w:rsidRPr="009510BF">
        <w:rPr>
          <w:sz w:val="18"/>
          <w:szCs w:val="18"/>
        </w:rPr>
        <w:t xml:space="preserve"> to prote</w:t>
      </w:r>
      <w:r>
        <w:rPr>
          <w:sz w:val="18"/>
          <w:szCs w:val="18"/>
        </w:rPr>
        <w:t>ct the identity of individuals.</w:t>
      </w:r>
    </w:p>
    <w:p w:rsidR="002B7E87" w:rsidRDefault="003F5FB2" w:rsidP="003B121D">
      <w:pPr>
        <w:pStyle w:val="Heading2"/>
      </w:pPr>
      <w:r>
        <w:t>3</w:t>
      </w:r>
      <w:r w:rsidR="002B7E87">
        <w:t>.9 Transport</w:t>
      </w:r>
    </w:p>
    <w:p w:rsidR="003B121D" w:rsidRDefault="003B121D" w:rsidP="003B121D">
      <w:r>
        <w:t>On average each quarter, disability ad</w:t>
      </w:r>
      <w:r w:rsidR="0002129D">
        <w:t>vocacy organisations reported 21</w:t>
      </w:r>
      <w:r>
        <w:t xml:space="preserve"> people were provided with advocacy assistance on </w:t>
      </w:r>
      <w:r w:rsidR="0002129D">
        <w:t>transport</w:t>
      </w:r>
      <w:r>
        <w:t xml:space="preserve">. This </w:t>
      </w:r>
      <w:r w:rsidR="0002129D">
        <w:t>was the ninth</w:t>
      </w:r>
      <w:r>
        <w:t xml:space="preserve"> highest number of people for an individual topic.</w:t>
      </w:r>
    </w:p>
    <w:p w:rsidR="003B121D" w:rsidRDefault="003B121D" w:rsidP="003B121D">
      <w:r>
        <w:t xml:space="preserve">The following human rights </w:t>
      </w:r>
      <w:r w:rsidR="00482845">
        <w:t xml:space="preserve">areas </w:t>
      </w:r>
      <w:r>
        <w:t xml:space="preserve">may apply to issues relating to </w:t>
      </w:r>
      <w:r w:rsidR="0002129D">
        <w:t>transport</w:t>
      </w:r>
      <w:r>
        <w:t xml:space="preserve"> for people with disabilities:</w:t>
      </w:r>
    </w:p>
    <w:p w:rsidR="003B121D" w:rsidRDefault="003B121D" w:rsidP="003B121D">
      <w:pPr>
        <w:pStyle w:val="ListParagraph"/>
        <w:numPr>
          <w:ilvl w:val="0"/>
          <w:numId w:val="2"/>
        </w:numPr>
      </w:pPr>
      <w:r>
        <w:t xml:space="preserve">UN </w:t>
      </w:r>
      <w:r w:rsidRPr="00D02181">
        <w:t>Convention on the Rights of Persons with a Disability</w:t>
      </w:r>
    </w:p>
    <w:p w:rsidR="00DC2B8E" w:rsidRDefault="003B121D" w:rsidP="00DC2B8E">
      <w:pPr>
        <w:pStyle w:val="ListParagraph"/>
        <w:ind w:left="1440"/>
      </w:pPr>
      <w:r>
        <w:t xml:space="preserve">Article 20: Personal Mobility </w:t>
      </w:r>
    </w:p>
    <w:p w:rsidR="00DC2B8E" w:rsidRDefault="00DC2B8E" w:rsidP="00DC2B8E">
      <w:pPr>
        <w:pStyle w:val="ListParagraph"/>
        <w:numPr>
          <w:ilvl w:val="0"/>
          <w:numId w:val="13"/>
        </w:numPr>
      </w:pPr>
      <w:r>
        <w:rPr>
          <w:rFonts w:cs="Arial"/>
        </w:rPr>
        <w:t>Victorian State Disability Plan Goal 3</w:t>
      </w:r>
    </w:p>
    <w:p w:rsidR="003B121D" w:rsidRDefault="00DC2B8E" w:rsidP="00A622AB">
      <w:pPr>
        <w:pStyle w:val="ListParagraph"/>
        <w:numPr>
          <w:ilvl w:val="1"/>
          <w:numId w:val="13"/>
        </w:numPr>
      </w:pPr>
      <w:r>
        <w:t xml:space="preserve">Outcome area 1: More transport options </w:t>
      </w:r>
    </w:p>
    <w:p w:rsidR="0002129D" w:rsidRDefault="0002129D" w:rsidP="0002129D">
      <w:pPr>
        <w:pStyle w:val="Heading3"/>
      </w:pPr>
      <w:r>
        <w:t>Case study 11: Sally</w:t>
      </w:r>
    </w:p>
    <w:p w:rsidR="0002129D" w:rsidRDefault="0002129D" w:rsidP="003B121D">
      <w:r w:rsidRPr="0002129D">
        <w:t>After a protracted attempt to catch the train home from a visit to the city, Sally</w:t>
      </w:r>
      <w:r>
        <w:t>*</w:t>
      </w:r>
      <w:r w:rsidRPr="0002129D">
        <w:t xml:space="preserve"> worked with her disability advocate to lodge a disability discrimination complaint with the Australian Human Rights Commission. Sally is legally blind and relies on audible announcements on the train to let her know which stop is her station. She also relies on audible announcements to notify her of platform changes. On the day in question, no audible announcements were provided on the first train she caught, and an incorrect station announcement was given on the second train.</w:t>
      </w:r>
    </w:p>
    <w:p w:rsidR="0002129D" w:rsidRPr="003B121D" w:rsidRDefault="0002129D" w:rsidP="0002129D">
      <w:pPr>
        <w:rPr>
          <w:sz w:val="18"/>
          <w:szCs w:val="18"/>
        </w:rPr>
      </w:pPr>
      <w:r w:rsidRPr="009510BF">
        <w:rPr>
          <w:sz w:val="18"/>
          <w:szCs w:val="18"/>
        </w:rPr>
        <w:t xml:space="preserve">* Names </w:t>
      </w:r>
      <w:r>
        <w:rPr>
          <w:sz w:val="18"/>
          <w:szCs w:val="18"/>
        </w:rPr>
        <w:t>are invented</w:t>
      </w:r>
      <w:r w:rsidRPr="009510BF">
        <w:rPr>
          <w:sz w:val="18"/>
          <w:szCs w:val="18"/>
        </w:rPr>
        <w:t xml:space="preserve"> to prote</w:t>
      </w:r>
      <w:r>
        <w:rPr>
          <w:sz w:val="18"/>
          <w:szCs w:val="18"/>
        </w:rPr>
        <w:t>ct the identity of individuals.</w:t>
      </w:r>
    </w:p>
    <w:p w:rsidR="0002129D" w:rsidRDefault="0002129D"/>
    <w:p w:rsidR="002B7E87" w:rsidRDefault="003F5FB2" w:rsidP="0002129D">
      <w:pPr>
        <w:pStyle w:val="Heading2"/>
      </w:pPr>
      <w:r>
        <w:t>3</w:t>
      </w:r>
      <w:r w:rsidR="002B7E87">
        <w:t>.10 Employment</w:t>
      </w:r>
    </w:p>
    <w:p w:rsidR="0002129D" w:rsidRDefault="0002129D" w:rsidP="0002129D">
      <w:r>
        <w:t>On average each quarter, disability advocacy organisations reported 20 people who were provided with advocacy assistance on employment. This was the tenth highest number of people for an individual topic.</w:t>
      </w:r>
    </w:p>
    <w:p w:rsidR="0002129D" w:rsidRDefault="0002129D" w:rsidP="0002129D">
      <w:r>
        <w:t xml:space="preserve">The following human rights </w:t>
      </w:r>
      <w:r w:rsidR="00F75B38">
        <w:t xml:space="preserve">areas </w:t>
      </w:r>
      <w:r>
        <w:t>may apply to issues relating to employment for people with disabilities:</w:t>
      </w:r>
    </w:p>
    <w:p w:rsidR="0002129D" w:rsidRDefault="0002129D" w:rsidP="0002129D">
      <w:pPr>
        <w:pStyle w:val="ListParagraph"/>
        <w:numPr>
          <w:ilvl w:val="0"/>
          <w:numId w:val="2"/>
        </w:numPr>
      </w:pPr>
      <w:r>
        <w:t xml:space="preserve">UN </w:t>
      </w:r>
      <w:r w:rsidRPr="00D02181">
        <w:t>Convention on the Rights of Persons with a Disability</w:t>
      </w:r>
    </w:p>
    <w:p w:rsidR="0002129D" w:rsidRDefault="0002129D" w:rsidP="0002129D">
      <w:pPr>
        <w:pStyle w:val="ListParagraph"/>
        <w:numPr>
          <w:ilvl w:val="1"/>
          <w:numId w:val="2"/>
        </w:numPr>
      </w:pPr>
      <w:r>
        <w:t xml:space="preserve">Article 8: Awareness </w:t>
      </w:r>
      <w:r w:rsidR="00F75B38">
        <w:t>r</w:t>
      </w:r>
      <w:r>
        <w:t>aising</w:t>
      </w:r>
    </w:p>
    <w:p w:rsidR="0002129D" w:rsidRDefault="0002129D" w:rsidP="0002129D">
      <w:pPr>
        <w:pStyle w:val="ListParagraph"/>
        <w:numPr>
          <w:ilvl w:val="1"/>
          <w:numId w:val="2"/>
        </w:numPr>
      </w:pPr>
      <w:r>
        <w:t xml:space="preserve">Article 20: Personal </w:t>
      </w:r>
      <w:r w:rsidR="00F75B38">
        <w:t>m</w:t>
      </w:r>
      <w:r>
        <w:t xml:space="preserve">obility </w:t>
      </w:r>
    </w:p>
    <w:p w:rsidR="0002129D" w:rsidRDefault="0002129D" w:rsidP="0002129D">
      <w:pPr>
        <w:pStyle w:val="ListParagraph"/>
        <w:numPr>
          <w:ilvl w:val="1"/>
          <w:numId w:val="2"/>
        </w:numPr>
      </w:pPr>
      <w:r>
        <w:rPr>
          <w:rFonts w:cs="Arial"/>
        </w:rPr>
        <w:t>Article 27</w:t>
      </w:r>
      <w:r w:rsidRPr="003B121D">
        <w:rPr>
          <w:rFonts w:cs="Arial"/>
        </w:rPr>
        <w:t xml:space="preserve">: </w:t>
      </w:r>
      <w:r>
        <w:t>Work and employment</w:t>
      </w:r>
    </w:p>
    <w:p w:rsidR="0002129D" w:rsidRDefault="0002129D" w:rsidP="0002129D">
      <w:pPr>
        <w:pStyle w:val="ListParagraph"/>
        <w:numPr>
          <w:ilvl w:val="1"/>
          <w:numId w:val="2"/>
        </w:numPr>
      </w:pPr>
      <w:r>
        <w:t>Article 21: Freedom of expression and opinion and access to information</w:t>
      </w:r>
    </w:p>
    <w:p w:rsidR="00F75B38" w:rsidRDefault="00F75B38" w:rsidP="00D55D8F">
      <w:pPr>
        <w:pStyle w:val="ListParagraph"/>
        <w:ind w:left="1440"/>
      </w:pPr>
    </w:p>
    <w:p w:rsidR="0002129D" w:rsidRPr="002D3DEC" w:rsidRDefault="0002129D" w:rsidP="0002129D">
      <w:pPr>
        <w:pStyle w:val="ListParagraph"/>
        <w:numPr>
          <w:ilvl w:val="0"/>
          <w:numId w:val="2"/>
        </w:numPr>
      </w:pPr>
      <w:r w:rsidRPr="00C610AD">
        <w:rPr>
          <w:rFonts w:cs="Arial"/>
        </w:rPr>
        <w:t xml:space="preserve">Victorian Charter of Human </w:t>
      </w:r>
      <w:r w:rsidR="00F75B38">
        <w:rPr>
          <w:rFonts w:cs="Arial"/>
        </w:rPr>
        <w:t>R</w:t>
      </w:r>
      <w:r w:rsidRPr="00C610AD">
        <w:rPr>
          <w:rFonts w:cs="Arial"/>
        </w:rPr>
        <w:t>ights and Responsibilities</w:t>
      </w:r>
    </w:p>
    <w:p w:rsidR="0002129D" w:rsidRDefault="0002129D" w:rsidP="0002129D">
      <w:pPr>
        <w:pStyle w:val="ListParagraph"/>
        <w:numPr>
          <w:ilvl w:val="1"/>
          <w:numId w:val="2"/>
        </w:numPr>
      </w:pPr>
      <w:r>
        <w:t>Section 11: Freedom from forced work</w:t>
      </w:r>
    </w:p>
    <w:p w:rsidR="0002129D" w:rsidRDefault="0002129D" w:rsidP="0002129D">
      <w:pPr>
        <w:pStyle w:val="ListParagraph"/>
        <w:numPr>
          <w:ilvl w:val="1"/>
          <w:numId w:val="2"/>
        </w:numPr>
      </w:pPr>
      <w:r>
        <w:t>Section 14: Freedom of thought, conscience, religion and belief</w:t>
      </w:r>
    </w:p>
    <w:p w:rsidR="0002129D" w:rsidRDefault="0002129D" w:rsidP="0002129D">
      <w:pPr>
        <w:pStyle w:val="ListParagraph"/>
        <w:numPr>
          <w:ilvl w:val="1"/>
          <w:numId w:val="2"/>
        </w:numPr>
      </w:pPr>
      <w:r>
        <w:t>Section 15: Freedom of expression and opinion and access to information</w:t>
      </w:r>
    </w:p>
    <w:p w:rsidR="00DC2B8E" w:rsidRDefault="0002129D" w:rsidP="00DC2B8E">
      <w:pPr>
        <w:pStyle w:val="ListParagraph"/>
        <w:ind w:left="1440"/>
      </w:pPr>
      <w:r>
        <w:t>Section 16: Peaceful assembly and freedom of association</w:t>
      </w:r>
      <w:r w:rsidR="00DC2B8E" w:rsidRPr="00DC2B8E">
        <w:t xml:space="preserve"> </w:t>
      </w:r>
    </w:p>
    <w:p w:rsidR="00DC2B8E" w:rsidRDefault="00DC2B8E" w:rsidP="00DC2B8E">
      <w:pPr>
        <w:pStyle w:val="ListParagraph"/>
        <w:numPr>
          <w:ilvl w:val="0"/>
          <w:numId w:val="13"/>
        </w:numPr>
      </w:pPr>
      <w:r>
        <w:rPr>
          <w:rFonts w:cs="Arial"/>
        </w:rPr>
        <w:t>Victorian State Disability Plan Goal 2</w:t>
      </w:r>
    </w:p>
    <w:p w:rsidR="00DC2B8E" w:rsidRDefault="00DC2B8E" w:rsidP="00DC2B8E">
      <w:pPr>
        <w:pStyle w:val="ListParagraph"/>
        <w:numPr>
          <w:ilvl w:val="1"/>
          <w:numId w:val="13"/>
        </w:numPr>
      </w:pPr>
      <w:r>
        <w:t xml:space="preserve">Outcome area 2: Better pathways to employment </w:t>
      </w:r>
    </w:p>
    <w:p w:rsidR="00DC2B8E" w:rsidRDefault="00DC2B8E" w:rsidP="00DC2B8E">
      <w:pPr>
        <w:pStyle w:val="ListParagraph"/>
        <w:ind w:left="1440"/>
      </w:pPr>
    </w:p>
    <w:p w:rsidR="0002129D" w:rsidRDefault="0002129D" w:rsidP="0095719B">
      <w:pPr>
        <w:pStyle w:val="Heading3"/>
      </w:pPr>
      <w:r>
        <w:t>Case study 12: Gemma</w:t>
      </w:r>
    </w:p>
    <w:p w:rsidR="0002129D" w:rsidRDefault="0002129D" w:rsidP="002B7E87">
      <w:r w:rsidRPr="0002129D">
        <w:t>Gemma</w:t>
      </w:r>
      <w:r>
        <w:t>*</w:t>
      </w:r>
      <w:r w:rsidR="00F75B38">
        <w:t xml:space="preserve">, 24, </w:t>
      </w:r>
      <w:r w:rsidRPr="0002129D">
        <w:t>has a physical disability and just obtained her first job. Even though her new employer was prepared to employ her on a full award wage, her disability employment service provider encoura</w:t>
      </w:r>
      <w:r>
        <w:t>ged her to use the supported wa</w:t>
      </w:r>
      <w:r w:rsidRPr="0002129D">
        <w:t xml:space="preserve">ge system (SWS) a scheme </w:t>
      </w:r>
      <w:r w:rsidR="009B0854">
        <w:t>that</w:t>
      </w:r>
      <w:r w:rsidR="009B0854" w:rsidRPr="0002129D">
        <w:t xml:space="preserve"> </w:t>
      </w:r>
      <w:r w:rsidRPr="0002129D">
        <w:t>would require her employer to pay her at 25</w:t>
      </w:r>
      <w:r w:rsidR="009B0854">
        <w:t xml:space="preserve"> per cent</w:t>
      </w:r>
      <w:r w:rsidRPr="0002129D">
        <w:t xml:space="preserve"> of the award rate. Gemma felt that her right to a fair wage was being infringed upon and approached a disability advocacy service to clarify her rights regarding employment. Her advocate explained how the SWS worked and provided information about pay awards. Arme</w:t>
      </w:r>
      <w:r>
        <w:t xml:space="preserve">d with this information, Gemma </w:t>
      </w:r>
      <w:r w:rsidRPr="0002129D">
        <w:t>chose to accept the job offer at the full rate of pay.</w:t>
      </w:r>
    </w:p>
    <w:p w:rsidR="0002129D" w:rsidRPr="003B121D" w:rsidRDefault="0002129D" w:rsidP="0002129D">
      <w:pPr>
        <w:rPr>
          <w:sz w:val="18"/>
          <w:szCs w:val="18"/>
        </w:rPr>
      </w:pPr>
      <w:r w:rsidRPr="009510BF">
        <w:rPr>
          <w:sz w:val="18"/>
          <w:szCs w:val="18"/>
        </w:rPr>
        <w:t xml:space="preserve">* Names </w:t>
      </w:r>
      <w:r>
        <w:rPr>
          <w:sz w:val="18"/>
          <w:szCs w:val="18"/>
        </w:rPr>
        <w:t>are invented</w:t>
      </w:r>
      <w:r w:rsidRPr="009510BF">
        <w:rPr>
          <w:sz w:val="18"/>
          <w:szCs w:val="18"/>
        </w:rPr>
        <w:t xml:space="preserve"> to prote</w:t>
      </w:r>
      <w:r>
        <w:rPr>
          <w:sz w:val="18"/>
          <w:szCs w:val="18"/>
        </w:rPr>
        <w:t>ct the identity of individuals.</w:t>
      </w:r>
    </w:p>
    <w:p w:rsidR="0002129D" w:rsidRPr="00AF455D" w:rsidRDefault="003F5FB2" w:rsidP="00AF455D">
      <w:pPr>
        <w:pStyle w:val="Heading2"/>
      </w:pPr>
      <w:r>
        <w:t>3</w:t>
      </w:r>
      <w:r w:rsidR="002B7E87">
        <w:t xml:space="preserve">.11 Built </w:t>
      </w:r>
      <w:r w:rsidR="009B0854">
        <w:t>e</w:t>
      </w:r>
      <w:r w:rsidR="002B7E87">
        <w:t>nvironment</w:t>
      </w:r>
    </w:p>
    <w:p w:rsidR="0002129D" w:rsidRDefault="0002129D" w:rsidP="0002129D">
      <w:r>
        <w:t>On average each quarter, disability advocacy organisations reported 11 people were provided with advocacy assistance on leisure and recreation. This was the eleventh highest number of people for an individual topic.</w:t>
      </w:r>
    </w:p>
    <w:p w:rsidR="0002129D" w:rsidRDefault="0002129D" w:rsidP="0002129D">
      <w:r>
        <w:t xml:space="preserve">The following human rights </w:t>
      </w:r>
      <w:r w:rsidR="009B0854">
        <w:t xml:space="preserve">areas </w:t>
      </w:r>
      <w:r>
        <w:t>may apply to issues relating to leisure and recreation for people with disabilities:</w:t>
      </w:r>
    </w:p>
    <w:p w:rsidR="0002129D" w:rsidRDefault="0002129D" w:rsidP="0002129D">
      <w:pPr>
        <w:pStyle w:val="ListParagraph"/>
        <w:numPr>
          <w:ilvl w:val="0"/>
          <w:numId w:val="2"/>
        </w:numPr>
      </w:pPr>
      <w:r>
        <w:t xml:space="preserve">UN </w:t>
      </w:r>
      <w:r w:rsidRPr="00D02181">
        <w:t>Convention on the Rights of Persons with a Disability</w:t>
      </w:r>
    </w:p>
    <w:p w:rsidR="0002129D" w:rsidRDefault="0002129D" w:rsidP="0002129D">
      <w:pPr>
        <w:pStyle w:val="ListParagraph"/>
        <w:numPr>
          <w:ilvl w:val="1"/>
          <w:numId w:val="2"/>
        </w:numPr>
      </w:pPr>
      <w:r>
        <w:t xml:space="preserve">Article 8: Awareness </w:t>
      </w:r>
      <w:r w:rsidR="009B0854">
        <w:t>r</w:t>
      </w:r>
      <w:r>
        <w:t>aising</w:t>
      </w:r>
    </w:p>
    <w:p w:rsidR="0002129D" w:rsidRDefault="0002129D" w:rsidP="002B7E87">
      <w:pPr>
        <w:pStyle w:val="ListParagraph"/>
        <w:numPr>
          <w:ilvl w:val="1"/>
          <w:numId w:val="2"/>
        </w:numPr>
      </w:pPr>
      <w:r>
        <w:t>Article 9: Accessibility</w:t>
      </w:r>
    </w:p>
    <w:p w:rsidR="00AF455D" w:rsidRDefault="00AF455D">
      <w:pPr>
        <w:rPr>
          <w:rFonts w:ascii="Century Gothic" w:eastAsiaTheme="majorEastAsia" w:hAnsi="Century Gothic" w:cstheme="majorBidi"/>
          <w:b/>
          <w:bCs/>
          <w:sz w:val="26"/>
          <w:szCs w:val="26"/>
        </w:rPr>
      </w:pPr>
      <w:r>
        <w:br w:type="page"/>
      </w:r>
    </w:p>
    <w:p w:rsidR="002B7E87" w:rsidRDefault="003F5FB2" w:rsidP="00AF455D">
      <w:pPr>
        <w:pStyle w:val="Heading2"/>
      </w:pPr>
      <w:r>
        <w:lastRenderedPageBreak/>
        <w:t>3</w:t>
      </w:r>
      <w:r w:rsidR="002B7E87">
        <w:t>.12 Gender</w:t>
      </w:r>
    </w:p>
    <w:p w:rsidR="009B0854" w:rsidRDefault="00AF455D" w:rsidP="00AF455D">
      <w:r>
        <w:t xml:space="preserve">On average each quarter, disability advocacy organisations reported one person was provided with advocacy assistance </w:t>
      </w:r>
      <w:r w:rsidR="00856B2D">
        <w:t xml:space="preserve">relating to </w:t>
      </w:r>
      <w:r>
        <w:t xml:space="preserve">gender. </w:t>
      </w:r>
    </w:p>
    <w:p w:rsidR="00AF455D" w:rsidRDefault="00AF455D" w:rsidP="00AF455D">
      <w:r>
        <w:t xml:space="preserve">The following human rights </w:t>
      </w:r>
      <w:r w:rsidR="009B0854">
        <w:t xml:space="preserve">area </w:t>
      </w:r>
      <w:r>
        <w:t>may apply to issues</w:t>
      </w:r>
      <w:bookmarkStart w:id="3" w:name="_GoBack"/>
      <w:bookmarkEnd w:id="3"/>
      <w:r>
        <w:t xml:space="preserve"> relating to </w:t>
      </w:r>
      <w:r w:rsidR="00FB6871">
        <w:t xml:space="preserve">gender </w:t>
      </w:r>
      <w:r>
        <w:t>for people with disabilities:</w:t>
      </w:r>
    </w:p>
    <w:p w:rsidR="00AF455D" w:rsidRDefault="00AF455D" w:rsidP="00AF455D">
      <w:pPr>
        <w:pStyle w:val="ListParagraph"/>
        <w:numPr>
          <w:ilvl w:val="0"/>
          <w:numId w:val="2"/>
        </w:numPr>
      </w:pPr>
      <w:r>
        <w:t xml:space="preserve">UN </w:t>
      </w:r>
      <w:r w:rsidRPr="00D02181">
        <w:t>Convention on the Rights of Persons with a Disability</w:t>
      </w:r>
    </w:p>
    <w:p w:rsidR="00AF455D" w:rsidRDefault="00AF455D" w:rsidP="00AF455D">
      <w:pPr>
        <w:pStyle w:val="ListParagraph"/>
        <w:numPr>
          <w:ilvl w:val="1"/>
          <w:numId w:val="2"/>
        </w:numPr>
      </w:pPr>
      <w:r>
        <w:t>Article 6: Women with disabilities</w:t>
      </w:r>
    </w:p>
    <w:p w:rsidR="009B0854" w:rsidRDefault="009B0854" w:rsidP="00D55D8F">
      <w:pPr>
        <w:pStyle w:val="ListParagraph"/>
        <w:ind w:left="1440"/>
      </w:pPr>
    </w:p>
    <w:p w:rsidR="002B7E87" w:rsidRDefault="003F5FB2" w:rsidP="00AF455D">
      <w:pPr>
        <w:pStyle w:val="Heading2"/>
      </w:pPr>
      <w:r>
        <w:t>3</w:t>
      </w:r>
      <w:r w:rsidR="002B7E87">
        <w:t>.13 Other</w:t>
      </w:r>
    </w:p>
    <w:p w:rsidR="009B0854" w:rsidRDefault="00AF455D" w:rsidP="00AF455D">
      <w:r>
        <w:t xml:space="preserve">On average each quarter, disability advocacy organisations reported 55 people were provided with advocacy assistance on other issues. </w:t>
      </w:r>
    </w:p>
    <w:p w:rsidR="00AF455D" w:rsidRDefault="00AF455D" w:rsidP="00AF455D">
      <w:r>
        <w:t xml:space="preserve">The following human rights </w:t>
      </w:r>
      <w:r w:rsidR="009B0854">
        <w:t xml:space="preserve">areas </w:t>
      </w:r>
      <w:r>
        <w:t>may apply to these issues:</w:t>
      </w:r>
    </w:p>
    <w:p w:rsidR="00AF455D" w:rsidRDefault="00AF455D" w:rsidP="00AF455D">
      <w:pPr>
        <w:pStyle w:val="ListParagraph"/>
        <w:numPr>
          <w:ilvl w:val="0"/>
          <w:numId w:val="2"/>
        </w:numPr>
      </w:pPr>
      <w:r>
        <w:t xml:space="preserve">UN </w:t>
      </w:r>
      <w:r w:rsidRPr="00D02181">
        <w:t>Convention on the Rights of Persons with a Disability</w:t>
      </w:r>
    </w:p>
    <w:p w:rsidR="00AF455D" w:rsidRDefault="00AF455D" w:rsidP="00AF455D">
      <w:pPr>
        <w:pStyle w:val="ListParagraph"/>
        <w:numPr>
          <w:ilvl w:val="1"/>
          <w:numId w:val="2"/>
        </w:numPr>
      </w:pPr>
      <w:r>
        <w:rPr>
          <w:rFonts w:cs="Arial"/>
        </w:rPr>
        <w:t>Article 11</w:t>
      </w:r>
      <w:r w:rsidRPr="003B121D">
        <w:rPr>
          <w:rFonts w:cs="Arial"/>
        </w:rPr>
        <w:t xml:space="preserve">: </w:t>
      </w:r>
      <w:r>
        <w:t>Situations of risk and humanitarian emergencies</w:t>
      </w:r>
    </w:p>
    <w:p w:rsidR="00AF455D" w:rsidRDefault="00AF455D" w:rsidP="00AF455D">
      <w:pPr>
        <w:pStyle w:val="ListParagraph"/>
        <w:numPr>
          <w:ilvl w:val="1"/>
          <w:numId w:val="2"/>
        </w:numPr>
      </w:pPr>
      <w:r>
        <w:t xml:space="preserve">Article 18: </w:t>
      </w:r>
      <w:r w:rsidRPr="00481851">
        <w:t>Liberty of movement and nationality</w:t>
      </w:r>
    </w:p>
    <w:p w:rsidR="00AF455D" w:rsidRDefault="00AF455D" w:rsidP="00AF455D">
      <w:pPr>
        <w:pStyle w:val="ListParagraph"/>
        <w:numPr>
          <w:ilvl w:val="1"/>
          <w:numId w:val="2"/>
        </w:numPr>
      </w:pPr>
      <w:r>
        <w:t>Article 29: Participation in political and public life</w:t>
      </w:r>
    </w:p>
    <w:p w:rsidR="009B0854" w:rsidRDefault="009B0854" w:rsidP="00D55D8F">
      <w:pPr>
        <w:pStyle w:val="ListParagraph"/>
        <w:ind w:left="1440"/>
      </w:pPr>
    </w:p>
    <w:p w:rsidR="00AF455D" w:rsidRPr="002D3DEC" w:rsidRDefault="00AF455D" w:rsidP="00AF455D">
      <w:pPr>
        <w:pStyle w:val="ListParagraph"/>
        <w:numPr>
          <w:ilvl w:val="0"/>
          <w:numId w:val="2"/>
        </w:numPr>
      </w:pPr>
      <w:r w:rsidRPr="00C610AD">
        <w:rPr>
          <w:rFonts w:cs="Arial"/>
        </w:rPr>
        <w:t xml:space="preserve">Victorian Charter of Human </w:t>
      </w:r>
      <w:r w:rsidR="009B0854">
        <w:rPr>
          <w:rFonts w:cs="Arial"/>
        </w:rPr>
        <w:t>R</w:t>
      </w:r>
      <w:r w:rsidRPr="00C610AD">
        <w:rPr>
          <w:rFonts w:cs="Arial"/>
        </w:rPr>
        <w:t>ights and Responsibilities</w:t>
      </w:r>
    </w:p>
    <w:p w:rsidR="00AF455D" w:rsidRDefault="00AF455D" w:rsidP="00AF455D">
      <w:pPr>
        <w:pStyle w:val="ListParagraph"/>
        <w:numPr>
          <w:ilvl w:val="1"/>
          <w:numId w:val="2"/>
        </w:numPr>
      </w:pPr>
      <w:r>
        <w:t>Section 18: Taking part in public life</w:t>
      </w:r>
    </w:p>
    <w:p w:rsidR="00AF455D" w:rsidRDefault="00AF455D" w:rsidP="00AF455D">
      <w:pPr>
        <w:pStyle w:val="ListParagraph"/>
        <w:numPr>
          <w:ilvl w:val="1"/>
          <w:numId w:val="2"/>
        </w:numPr>
      </w:pPr>
      <w:r>
        <w:t xml:space="preserve">Section 16: Peaceful assembly and freedom of association </w:t>
      </w:r>
    </w:p>
    <w:p w:rsidR="00AF455D" w:rsidRDefault="00AF455D" w:rsidP="00AF455D">
      <w:pPr>
        <w:pStyle w:val="ListParagraph"/>
        <w:numPr>
          <w:ilvl w:val="1"/>
          <w:numId w:val="2"/>
        </w:numPr>
      </w:pPr>
      <w:r>
        <w:t>Section 20: Property rights</w:t>
      </w:r>
    </w:p>
    <w:p w:rsidR="003F5FB2" w:rsidRDefault="003F5FB2" w:rsidP="003F5FB2">
      <w:pPr>
        <w:pStyle w:val="Heading1"/>
        <w:ind w:left="720"/>
      </w:pPr>
    </w:p>
    <w:p w:rsidR="003F5FB2" w:rsidRDefault="003F5FB2">
      <w:pPr>
        <w:rPr>
          <w:rFonts w:ascii="Century Gothic" w:eastAsiaTheme="majorEastAsia" w:hAnsi="Century Gothic" w:cstheme="majorBidi"/>
          <w:b/>
          <w:bCs/>
          <w:sz w:val="28"/>
          <w:szCs w:val="28"/>
        </w:rPr>
      </w:pPr>
      <w:r>
        <w:br w:type="page"/>
      </w:r>
    </w:p>
    <w:p w:rsidR="00AF455D" w:rsidRDefault="002D3DC4" w:rsidP="003F5FB2">
      <w:pPr>
        <w:pStyle w:val="Heading1"/>
        <w:numPr>
          <w:ilvl w:val="0"/>
          <w:numId w:val="4"/>
        </w:numPr>
      </w:pPr>
      <w:r>
        <w:lastRenderedPageBreak/>
        <w:t>Data limitations</w:t>
      </w:r>
      <w:r w:rsidR="00B4532A">
        <w:t xml:space="preserve"> </w:t>
      </w:r>
    </w:p>
    <w:p w:rsidR="00AF455D" w:rsidRDefault="00AF455D" w:rsidP="00AF455D">
      <w:r>
        <w:t>This report presents the data received from the Office for Disability, aggregated and de-identified, from the information collected by the QDC. There are limitations to this data, and this report may be a prompt for discuss</w:t>
      </w:r>
      <w:r w:rsidR="00817843">
        <w:t xml:space="preserve">ion about what other statistics </w:t>
      </w:r>
      <w:r>
        <w:t>organ</w:t>
      </w:r>
      <w:r w:rsidR="00817843">
        <w:t>isations may wish to know about disability advocacy services.</w:t>
      </w:r>
    </w:p>
    <w:p w:rsidR="00817843" w:rsidRDefault="00817843" w:rsidP="00AF455D">
      <w:r>
        <w:t xml:space="preserve">Some of the data limitations </w:t>
      </w:r>
      <w:r w:rsidR="009B0854">
        <w:t>noted</w:t>
      </w:r>
      <w:r>
        <w:t xml:space="preserve"> in compiling this report include:</w:t>
      </w:r>
    </w:p>
    <w:p w:rsidR="00817843" w:rsidRDefault="00817843" w:rsidP="00817843">
      <w:pPr>
        <w:pStyle w:val="ListParagraph"/>
        <w:numPr>
          <w:ilvl w:val="0"/>
          <w:numId w:val="2"/>
        </w:numPr>
      </w:pPr>
      <w:r>
        <w:t>The inability to summate much of the data to get a figure for the number of clients assisted over a year, as it is not possible to determine what proportion of clients are continuing from previous reporting periods, especially in relation to further disaggregation of the data, such as by age, sex, or advocacy issue</w:t>
      </w:r>
      <w:r w:rsidR="009B0854">
        <w:t>;</w:t>
      </w:r>
    </w:p>
    <w:p w:rsidR="009B0854" w:rsidRDefault="009B0854" w:rsidP="00D55D8F">
      <w:pPr>
        <w:pStyle w:val="ListParagraph"/>
      </w:pPr>
    </w:p>
    <w:p w:rsidR="009B0854" w:rsidRDefault="00817843" w:rsidP="009B0854">
      <w:pPr>
        <w:pStyle w:val="ListParagraph"/>
        <w:numPr>
          <w:ilvl w:val="0"/>
          <w:numId w:val="2"/>
        </w:numPr>
      </w:pPr>
      <w:r>
        <w:t>Large proportions of characteristics that are under-reported by organisations, for instance the 49</w:t>
      </w:r>
      <w:r w:rsidR="009B0854">
        <w:t xml:space="preserve"> per cent</w:t>
      </w:r>
      <w:r>
        <w:t xml:space="preserve"> of clients </w:t>
      </w:r>
      <w:r w:rsidR="009B0854">
        <w:t xml:space="preserve">who </w:t>
      </w:r>
      <w:r>
        <w:t xml:space="preserve">were not assigned a gender in reporting. </w:t>
      </w:r>
      <w:r w:rsidR="009B0854">
        <w:t>It is also possible</w:t>
      </w:r>
      <w:r>
        <w:t xml:space="preserve"> that the proportion</w:t>
      </w:r>
      <w:r w:rsidR="009B0854">
        <w:t>s</w:t>
      </w:r>
      <w:r>
        <w:t xml:space="preserve"> of Aboriginal and CALD clients are much higher, but may be affected by under-reporting</w:t>
      </w:r>
      <w:r w:rsidR="009B0854">
        <w:t>;</w:t>
      </w:r>
      <w:r w:rsidR="009B0854">
        <w:br/>
      </w:r>
    </w:p>
    <w:p w:rsidR="00817843" w:rsidRDefault="00817843" w:rsidP="00817843">
      <w:pPr>
        <w:pStyle w:val="ListParagraph"/>
        <w:numPr>
          <w:ilvl w:val="0"/>
          <w:numId w:val="2"/>
        </w:numPr>
      </w:pPr>
      <w:r>
        <w:t>The inability to cross-reference data – for instance, to desegregate data by both age and sex</w:t>
      </w:r>
      <w:r w:rsidR="009B0854">
        <w:t>;</w:t>
      </w:r>
    </w:p>
    <w:p w:rsidR="009B0854" w:rsidRDefault="009B0854" w:rsidP="00D55D8F">
      <w:pPr>
        <w:pStyle w:val="ListParagraph"/>
      </w:pPr>
    </w:p>
    <w:p w:rsidR="009B0854" w:rsidRDefault="00817843" w:rsidP="009B0854">
      <w:pPr>
        <w:pStyle w:val="ListParagraph"/>
        <w:numPr>
          <w:ilvl w:val="0"/>
          <w:numId w:val="2"/>
        </w:numPr>
      </w:pPr>
      <w:r>
        <w:t>Inconsistencies in interpretation of some QDC questions between organisations, leading to some advocacy issues rating higher than they otherwise would have</w:t>
      </w:r>
      <w:r w:rsidR="009B0854">
        <w:t>; and</w:t>
      </w:r>
      <w:r w:rsidR="009B0854">
        <w:br/>
      </w:r>
    </w:p>
    <w:p w:rsidR="002D3DC4" w:rsidRDefault="002D3DC4" w:rsidP="002D3DC4">
      <w:pPr>
        <w:pStyle w:val="ListParagraph"/>
        <w:numPr>
          <w:ilvl w:val="0"/>
          <w:numId w:val="2"/>
        </w:numPr>
      </w:pPr>
      <w:r>
        <w:t>Data were not provided to DARU for all fields in the Quarterly Data Collection process for the Advocacy Program.</w:t>
      </w:r>
    </w:p>
    <w:p w:rsidR="002D3DC4" w:rsidRDefault="002D3DC4" w:rsidP="002D3DC4">
      <w:pPr>
        <w:pStyle w:val="Heading1"/>
        <w:numPr>
          <w:ilvl w:val="0"/>
          <w:numId w:val="4"/>
        </w:numPr>
      </w:pPr>
      <w:r>
        <w:t>Next steps</w:t>
      </w:r>
    </w:p>
    <w:p w:rsidR="002D3DC4" w:rsidRPr="002D3DC4" w:rsidRDefault="002D3DC4" w:rsidP="002D3DC4">
      <w:r>
        <w:t xml:space="preserve">This </w:t>
      </w:r>
      <w:r w:rsidR="0095719B">
        <w:t xml:space="preserve">report will be presented at the DARU </w:t>
      </w:r>
      <w:r>
        <w:t xml:space="preserve">Advocacy Sector Conversation Forum on 5 June, 2014, </w:t>
      </w:r>
      <w:r w:rsidR="0095719B">
        <w:t xml:space="preserve">which will </w:t>
      </w:r>
      <w:r>
        <w:t xml:space="preserve">provide the opportunity for disability advocacy organisations to </w:t>
      </w:r>
      <w:r w:rsidR="0095719B">
        <w:t>understand and discuss its findings</w:t>
      </w:r>
      <w:r>
        <w:t>. The report will also be provided to the Office for Disability, Disability Advocacy Victoria and disability advocacy organisations for their consideration.</w:t>
      </w:r>
    </w:p>
    <w:sectPr w:rsidR="002D3DC4" w:rsidRPr="002D3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A1A"/>
    <w:multiLevelType w:val="hybridMultilevel"/>
    <w:tmpl w:val="304C4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2D31D2"/>
    <w:multiLevelType w:val="hybridMultilevel"/>
    <w:tmpl w:val="F8F46A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18D2571C"/>
    <w:multiLevelType w:val="hybridMultilevel"/>
    <w:tmpl w:val="460C92FE"/>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F1339F"/>
    <w:multiLevelType w:val="multilevel"/>
    <w:tmpl w:val="23A49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BF0787D"/>
    <w:multiLevelType w:val="hybridMultilevel"/>
    <w:tmpl w:val="61F0A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753BC8"/>
    <w:multiLevelType w:val="hybridMultilevel"/>
    <w:tmpl w:val="75AE1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73709"/>
    <w:multiLevelType w:val="hybridMultilevel"/>
    <w:tmpl w:val="21BC8728"/>
    <w:lvl w:ilvl="0" w:tplc="0C090001">
      <w:start w:val="1"/>
      <w:numFmt w:val="bullet"/>
      <w:lvlText w:val=""/>
      <w:lvlJc w:val="left"/>
      <w:pPr>
        <w:ind w:left="720" w:hanging="360"/>
      </w:pPr>
      <w:rPr>
        <w:rFonts w:ascii="Symbol" w:hAnsi="Symbol" w:hint="default"/>
      </w:rPr>
    </w:lvl>
    <w:lvl w:ilvl="1" w:tplc="0660CB6E">
      <w:start w:val="1"/>
      <w:numFmt w:val="bullet"/>
      <w:lvlText w:val=""/>
      <w:lvlJc w:val="left"/>
      <w:pPr>
        <w:tabs>
          <w:tab w:val="num" w:pos="1400"/>
        </w:tabs>
        <w:ind w:left="1440" w:hanging="360"/>
      </w:pPr>
      <w:rPr>
        <w:rFonts w:ascii="Symbol" w:hAnsi="Symbol" w:hint="default"/>
        <w:sz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
    <w:nsid w:val="21CC4472"/>
    <w:multiLevelType w:val="hybridMultilevel"/>
    <w:tmpl w:val="069CEAB8"/>
    <w:lvl w:ilvl="0" w:tplc="595694BC">
      <w:start w:val="1"/>
      <w:numFmt w:val="decimal"/>
      <w:pStyle w:val="NoSpacing"/>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245464C5"/>
    <w:multiLevelType w:val="hybridMultilevel"/>
    <w:tmpl w:val="63BC8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86125D"/>
    <w:multiLevelType w:val="hybridMultilevel"/>
    <w:tmpl w:val="6BD8E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0E148E"/>
    <w:multiLevelType w:val="hybridMultilevel"/>
    <w:tmpl w:val="86A8545E"/>
    <w:lvl w:ilvl="0" w:tplc="0660CB6E">
      <w:start w:val="1"/>
      <w:numFmt w:val="bullet"/>
      <w:lvlText w:val=""/>
      <w:lvlJc w:val="left"/>
      <w:pPr>
        <w:tabs>
          <w:tab w:val="num" w:pos="680"/>
        </w:tabs>
        <w:ind w:left="72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nsid w:val="472C1591"/>
    <w:multiLevelType w:val="hybridMultilevel"/>
    <w:tmpl w:val="95C88A60"/>
    <w:lvl w:ilvl="0" w:tplc="4C32B28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A42CA3"/>
    <w:multiLevelType w:val="hybridMultilevel"/>
    <w:tmpl w:val="E17E38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9"/>
  </w:num>
  <w:num w:numId="5">
    <w:abstractNumId w:val="7"/>
  </w:num>
  <w:num w:numId="6">
    <w:abstractNumId w:val="12"/>
  </w:num>
  <w:num w:numId="7">
    <w:abstractNumId w:val="2"/>
  </w:num>
  <w:num w:numId="8">
    <w:abstractNumId w:val="3"/>
  </w:num>
  <w:num w:numId="9">
    <w:abstractNumId w:val="4"/>
  </w:num>
  <w:num w:numId="10">
    <w:abstractNumId w:val="5"/>
  </w:num>
  <w:num w:numId="11">
    <w:abstractNumId w:val="11"/>
  </w:num>
  <w:num w:numId="12">
    <w:abstractNumId w:val="0"/>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0E"/>
    <w:rsid w:val="0002129D"/>
    <w:rsid w:val="00042AD9"/>
    <w:rsid w:val="00081885"/>
    <w:rsid w:val="000B6508"/>
    <w:rsid w:val="000B7BF5"/>
    <w:rsid w:val="0014049F"/>
    <w:rsid w:val="001571A5"/>
    <w:rsid w:val="00170B68"/>
    <w:rsid w:val="001B4015"/>
    <w:rsid w:val="0020020F"/>
    <w:rsid w:val="002665A0"/>
    <w:rsid w:val="002B7E87"/>
    <w:rsid w:val="002D3DC4"/>
    <w:rsid w:val="002D3DEC"/>
    <w:rsid w:val="002F3A11"/>
    <w:rsid w:val="002F6AEA"/>
    <w:rsid w:val="00333973"/>
    <w:rsid w:val="00341164"/>
    <w:rsid w:val="00366F77"/>
    <w:rsid w:val="003B121D"/>
    <w:rsid w:val="003B6A84"/>
    <w:rsid w:val="003C5243"/>
    <w:rsid w:val="003C7279"/>
    <w:rsid w:val="003F5FB2"/>
    <w:rsid w:val="00401CB7"/>
    <w:rsid w:val="00482845"/>
    <w:rsid w:val="004C6679"/>
    <w:rsid w:val="004D5123"/>
    <w:rsid w:val="004D5FC9"/>
    <w:rsid w:val="004D71D8"/>
    <w:rsid w:val="0052530C"/>
    <w:rsid w:val="00556C26"/>
    <w:rsid w:val="00560E31"/>
    <w:rsid w:val="00566EEF"/>
    <w:rsid w:val="00572E40"/>
    <w:rsid w:val="005D2EF9"/>
    <w:rsid w:val="006231A9"/>
    <w:rsid w:val="00656043"/>
    <w:rsid w:val="00696FAC"/>
    <w:rsid w:val="006A520E"/>
    <w:rsid w:val="006B0E21"/>
    <w:rsid w:val="006E620B"/>
    <w:rsid w:val="00726E7B"/>
    <w:rsid w:val="00734D29"/>
    <w:rsid w:val="00743C92"/>
    <w:rsid w:val="0075134B"/>
    <w:rsid w:val="007515F5"/>
    <w:rsid w:val="00754968"/>
    <w:rsid w:val="00756730"/>
    <w:rsid w:val="0076676D"/>
    <w:rsid w:val="00774791"/>
    <w:rsid w:val="00777D4F"/>
    <w:rsid w:val="00786A3C"/>
    <w:rsid w:val="007B3807"/>
    <w:rsid w:val="007D6F51"/>
    <w:rsid w:val="00817843"/>
    <w:rsid w:val="008426AA"/>
    <w:rsid w:val="00856B2D"/>
    <w:rsid w:val="008C395B"/>
    <w:rsid w:val="008D0FBD"/>
    <w:rsid w:val="008D710E"/>
    <w:rsid w:val="00911C01"/>
    <w:rsid w:val="00917943"/>
    <w:rsid w:val="00925CA0"/>
    <w:rsid w:val="00926E98"/>
    <w:rsid w:val="009510BF"/>
    <w:rsid w:val="00951436"/>
    <w:rsid w:val="0095719B"/>
    <w:rsid w:val="009A6725"/>
    <w:rsid w:val="009B0854"/>
    <w:rsid w:val="009C1C68"/>
    <w:rsid w:val="009D1E15"/>
    <w:rsid w:val="009F7927"/>
    <w:rsid w:val="00A622AB"/>
    <w:rsid w:val="00A656D9"/>
    <w:rsid w:val="00A956AB"/>
    <w:rsid w:val="00AE60F7"/>
    <w:rsid w:val="00AE7CD2"/>
    <w:rsid w:val="00AF455D"/>
    <w:rsid w:val="00AF5031"/>
    <w:rsid w:val="00B4532A"/>
    <w:rsid w:val="00C6586B"/>
    <w:rsid w:val="00D02181"/>
    <w:rsid w:val="00D04C59"/>
    <w:rsid w:val="00D55D8F"/>
    <w:rsid w:val="00D70A32"/>
    <w:rsid w:val="00DC2B8E"/>
    <w:rsid w:val="00DF01E8"/>
    <w:rsid w:val="00DF4621"/>
    <w:rsid w:val="00EA267E"/>
    <w:rsid w:val="00F26EF9"/>
    <w:rsid w:val="00F75B38"/>
    <w:rsid w:val="00F92C05"/>
    <w:rsid w:val="00FB6871"/>
    <w:rsid w:val="00FE6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0E"/>
    <w:rPr>
      <w:rFonts w:ascii="Arial" w:hAnsi="Arial"/>
    </w:rPr>
  </w:style>
  <w:style w:type="paragraph" w:styleId="Heading1">
    <w:name w:val="heading 1"/>
    <w:basedOn w:val="Normal"/>
    <w:next w:val="Normal"/>
    <w:link w:val="Heading1Char"/>
    <w:uiPriority w:val="9"/>
    <w:qFormat/>
    <w:rsid w:val="008D710E"/>
    <w:pPr>
      <w:keepNext/>
      <w:keepLines/>
      <w:spacing w:before="480" w:after="0"/>
      <w:outlineLvl w:val="0"/>
    </w:pPr>
    <w:rPr>
      <w:rFonts w:ascii="Century Gothic" w:eastAsiaTheme="majorEastAsia" w:hAnsi="Century Gothic" w:cstheme="majorBidi"/>
      <w:b/>
      <w:bCs/>
      <w:sz w:val="28"/>
      <w:szCs w:val="28"/>
    </w:rPr>
  </w:style>
  <w:style w:type="paragraph" w:styleId="Heading2">
    <w:name w:val="heading 2"/>
    <w:basedOn w:val="Normal"/>
    <w:next w:val="Normal"/>
    <w:link w:val="Heading2Char"/>
    <w:uiPriority w:val="9"/>
    <w:unhideWhenUsed/>
    <w:qFormat/>
    <w:rsid w:val="00DF01E8"/>
    <w:pPr>
      <w:keepNext/>
      <w:keepLines/>
      <w:spacing w:before="200" w:after="0"/>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uiPriority w:val="9"/>
    <w:unhideWhenUsed/>
    <w:qFormat/>
    <w:rsid w:val="00926E98"/>
    <w:pPr>
      <w:keepNext/>
      <w:keepLines/>
      <w:spacing w:before="200" w:after="0"/>
      <w:outlineLvl w:val="2"/>
    </w:pPr>
    <w:rPr>
      <w:rFonts w:ascii="Century Gothic" w:eastAsiaTheme="majorEastAsia" w:hAnsi="Century Gothic" w:cstheme="majorBidi"/>
      <w:b/>
      <w:bCs/>
    </w:rPr>
  </w:style>
  <w:style w:type="paragraph" w:styleId="Heading4">
    <w:name w:val="heading 4"/>
    <w:basedOn w:val="Normal"/>
    <w:next w:val="Normal"/>
    <w:link w:val="Heading4Char"/>
    <w:uiPriority w:val="9"/>
    <w:semiHidden/>
    <w:unhideWhenUsed/>
    <w:qFormat/>
    <w:rsid w:val="00D021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10E"/>
    <w:rPr>
      <w:rFonts w:ascii="Century Gothic" w:eastAsiaTheme="majorEastAsia" w:hAnsi="Century Gothic" w:cstheme="majorBidi"/>
      <w:b/>
      <w:bCs/>
      <w:sz w:val="28"/>
      <w:szCs w:val="28"/>
    </w:rPr>
  </w:style>
  <w:style w:type="paragraph" w:styleId="BalloonText">
    <w:name w:val="Balloon Text"/>
    <w:basedOn w:val="Normal"/>
    <w:link w:val="BalloonTextChar"/>
    <w:uiPriority w:val="99"/>
    <w:semiHidden/>
    <w:unhideWhenUsed/>
    <w:rsid w:val="008D7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10E"/>
    <w:rPr>
      <w:rFonts w:ascii="Tahoma" w:hAnsi="Tahoma" w:cs="Tahoma"/>
      <w:sz w:val="16"/>
      <w:szCs w:val="16"/>
    </w:rPr>
  </w:style>
  <w:style w:type="paragraph" w:styleId="ListParagraph">
    <w:name w:val="List Paragraph"/>
    <w:basedOn w:val="Normal"/>
    <w:uiPriority w:val="99"/>
    <w:qFormat/>
    <w:rsid w:val="008D710E"/>
    <w:pPr>
      <w:ind w:left="720"/>
      <w:contextualSpacing/>
    </w:pPr>
  </w:style>
  <w:style w:type="character" w:styleId="Hyperlink">
    <w:name w:val="Hyperlink"/>
    <w:basedOn w:val="DefaultParagraphFont"/>
    <w:uiPriority w:val="99"/>
    <w:unhideWhenUsed/>
    <w:rsid w:val="008D710E"/>
    <w:rPr>
      <w:color w:val="0000FF" w:themeColor="hyperlink"/>
      <w:u w:val="single"/>
    </w:rPr>
  </w:style>
  <w:style w:type="character" w:customStyle="1" w:styleId="Heading2Char">
    <w:name w:val="Heading 2 Char"/>
    <w:basedOn w:val="DefaultParagraphFont"/>
    <w:link w:val="Heading2"/>
    <w:uiPriority w:val="9"/>
    <w:rsid w:val="00DF01E8"/>
    <w:rPr>
      <w:rFonts w:ascii="Century Gothic" w:eastAsiaTheme="majorEastAsia" w:hAnsi="Century Gothic" w:cstheme="majorBidi"/>
      <w:b/>
      <w:bCs/>
      <w:sz w:val="26"/>
      <w:szCs w:val="26"/>
    </w:rPr>
  </w:style>
  <w:style w:type="character" w:customStyle="1" w:styleId="Heading3Char">
    <w:name w:val="Heading 3 Char"/>
    <w:basedOn w:val="DefaultParagraphFont"/>
    <w:link w:val="Heading3"/>
    <w:uiPriority w:val="9"/>
    <w:rsid w:val="00926E98"/>
    <w:rPr>
      <w:rFonts w:ascii="Century Gothic" w:eastAsiaTheme="majorEastAsia" w:hAnsi="Century Gothic" w:cstheme="majorBidi"/>
      <w:b/>
      <w:bCs/>
    </w:rPr>
  </w:style>
  <w:style w:type="table" w:styleId="TableGrid">
    <w:name w:val="Table Grid"/>
    <w:basedOn w:val="TableNormal"/>
    <w:uiPriority w:val="59"/>
    <w:rsid w:val="00926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D02181"/>
    <w:rPr>
      <w:rFonts w:asciiTheme="majorHAnsi" w:eastAsiaTheme="majorEastAsia" w:hAnsiTheme="majorHAnsi" w:cstheme="majorBidi"/>
      <w:b/>
      <w:bCs/>
      <w:i/>
      <w:iCs/>
      <w:color w:val="4F81BD" w:themeColor="accent1"/>
    </w:rPr>
  </w:style>
  <w:style w:type="paragraph" w:styleId="NoSpacing">
    <w:name w:val="No Spacing"/>
    <w:basedOn w:val="Normal"/>
    <w:uiPriority w:val="1"/>
    <w:qFormat/>
    <w:rsid w:val="00D02181"/>
    <w:pPr>
      <w:numPr>
        <w:numId w:val="5"/>
      </w:numPr>
      <w:spacing w:after="0" w:line="240" w:lineRule="auto"/>
    </w:pPr>
    <w:rPr>
      <w:rFonts w:eastAsiaTheme="minorEastAsia" w:cs="Arial"/>
      <w:szCs w:val="19"/>
      <w:lang w:val="en-GB" w:eastAsia="en-AU"/>
    </w:rPr>
  </w:style>
  <w:style w:type="paragraph" w:styleId="NormalWeb">
    <w:name w:val="Normal (Web)"/>
    <w:basedOn w:val="Normal"/>
    <w:uiPriority w:val="99"/>
    <w:semiHidden/>
    <w:unhideWhenUsed/>
    <w:rsid w:val="00817843"/>
    <w:pPr>
      <w:spacing w:before="100" w:beforeAutospacing="1" w:after="100" w:afterAutospacing="1" w:line="240" w:lineRule="auto"/>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72E40"/>
    <w:rPr>
      <w:sz w:val="16"/>
      <w:szCs w:val="16"/>
    </w:rPr>
  </w:style>
  <w:style w:type="paragraph" w:styleId="CommentText">
    <w:name w:val="annotation text"/>
    <w:basedOn w:val="Normal"/>
    <w:link w:val="CommentTextChar"/>
    <w:uiPriority w:val="99"/>
    <w:semiHidden/>
    <w:unhideWhenUsed/>
    <w:rsid w:val="00572E40"/>
    <w:pPr>
      <w:spacing w:line="240" w:lineRule="auto"/>
    </w:pPr>
    <w:rPr>
      <w:sz w:val="20"/>
      <w:szCs w:val="20"/>
    </w:rPr>
  </w:style>
  <w:style w:type="character" w:customStyle="1" w:styleId="CommentTextChar">
    <w:name w:val="Comment Text Char"/>
    <w:basedOn w:val="DefaultParagraphFont"/>
    <w:link w:val="CommentText"/>
    <w:uiPriority w:val="99"/>
    <w:semiHidden/>
    <w:rsid w:val="00572E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2E40"/>
    <w:rPr>
      <w:b/>
      <w:bCs/>
    </w:rPr>
  </w:style>
  <w:style w:type="character" w:customStyle="1" w:styleId="CommentSubjectChar">
    <w:name w:val="Comment Subject Char"/>
    <w:basedOn w:val="CommentTextChar"/>
    <w:link w:val="CommentSubject"/>
    <w:uiPriority w:val="99"/>
    <w:semiHidden/>
    <w:rsid w:val="00572E40"/>
    <w:rPr>
      <w:rFonts w:ascii="Arial" w:hAnsi="Arial"/>
      <w:b/>
      <w:bCs/>
      <w:sz w:val="20"/>
      <w:szCs w:val="20"/>
    </w:rPr>
  </w:style>
  <w:style w:type="paragraph" w:styleId="Revision">
    <w:name w:val="Revision"/>
    <w:hidden/>
    <w:uiPriority w:val="99"/>
    <w:semiHidden/>
    <w:rsid w:val="003C5243"/>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0E"/>
    <w:rPr>
      <w:rFonts w:ascii="Arial" w:hAnsi="Arial"/>
    </w:rPr>
  </w:style>
  <w:style w:type="paragraph" w:styleId="Heading1">
    <w:name w:val="heading 1"/>
    <w:basedOn w:val="Normal"/>
    <w:next w:val="Normal"/>
    <w:link w:val="Heading1Char"/>
    <w:uiPriority w:val="9"/>
    <w:qFormat/>
    <w:rsid w:val="008D710E"/>
    <w:pPr>
      <w:keepNext/>
      <w:keepLines/>
      <w:spacing w:before="480" w:after="0"/>
      <w:outlineLvl w:val="0"/>
    </w:pPr>
    <w:rPr>
      <w:rFonts w:ascii="Century Gothic" w:eastAsiaTheme="majorEastAsia" w:hAnsi="Century Gothic" w:cstheme="majorBidi"/>
      <w:b/>
      <w:bCs/>
      <w:sz w:val="28"/>
      <w:szCs w:val="28"/>
    </w:rPr>
  </w:style>
  <w:style w:type="paragraph" w:styleId="Heading2">
    <w:name w:val="heading 2"/>
    <w:basedOn w:val="Normal"/>
    <w:next w:val="Normal"/>
    <w:link w:val="Heading2Char"/>
    <w:uiPriority w:val="9"/>
    <w:unhideWhenUsed/>
    <w:qFormat/>
    <w:rsid w:val="00DF01E8"/>
    <w:pPr>
      <w:keepNext/>
      <w:keepLines/>
      <w:spacing w:before="200" w:after="0"/>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uiPriority w:val="9"/>
    <w:unhideWhenUsed/>
    <w:qFormat/>
    <w:rsid w:val="00926E98"/>
    <w:pPr>
      <w:keepNext/>
      <w:keepLines/>
      <w:spacing w:before="200" w:after="0"/>
      <w:outlineLvl w:val="2"/>
    </w:pPr>
    <w:rPr>
      <w:rFonts w:ascii="Century Gothic" w:eastAsiaTheme="majorEastAsia" w:hAnsi="Century Gothic" w:cstheme="majorBidi"/>
      <w:b/>
      <w:bCs/>
    </w:rPr>
  </w:style>
  <w:style w:type="paragraph" w:styleId="Heading4">
    <w:name w:val="heading 4"/>
    <w:basedOn w:val="Normal"/>
    <w:next w:val="Normal"/>
    <w:link w:val="Heading4Char"/>
    <w:uiPriority w:val="9"/>
    <w:semiHidden/>
    <w:unhideWhenUsed/>
    <w:qFormat/>
    <w:rsid w:val="00D021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10E"/>
    <w:rPr>
      <w:rFonts w:ascii="Century Gothic" w:eastAsiaTheme="majorEastAsia" w:hAnsi="Century Gothic" w:cstheme="majorBidi"/>
      <w:b/>
      <w:bCs/>
      <w:sz w:val="28"/>
      <w:szCs w:val="28"/>
    </w:rPr>
  </w:style>
  <w:style w:type="paragraph" w:styleId="BalloonText">
    <w:name w:val="Balloon Text"/>
    <w:basedOn w:val="Normal"/>
    <w:link w:val="BalloonTextChar"/>
    <w:uiPriority w:val="99"/>
    <w:semiHidden/>
    <w:unhideWhenUsed/>
    <w:rsid w:val="008D7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10E"/>
    <w:rPr>
      <w:rFonts w:ascii="Tahoma" w:hAnsi="Tahoma" w:cs="Tahoma"/>
      <w:sz w:val="16"/>
      <w:szCs w:val="16"/>
    </w:rPr>
  </w:style>
  <w:style w:type="paragraph" w:styleId="ListParagraph">
    <w:name w:val="List Paragraph"/>
    <w:basedOn w:val="Normal"/>
    <w:uiPriority w:val="99"/>
    <w:qFormat/>
    <w:rsid w:val="008D710E"/>
    <w:pPr>
      <w:ind w:left="720"/>
      <w:contextualSpacing/>
    </w:pPr>
  </w:style>
  <w:style w:type="character" w:styleId="Hyperlink">
    <w:name w:val="Hyperlink"/>
    <w:basedOn w:val="DefaultParagraphFont"/>
    <w:uiPriority w:val="99"/>
    <w:unhideWhenUsed/>
    <w:rsid w:val="008D710E"/>
    <w:rPr>
      <w:color w:val="0000FF" w:themeColor="hyperlink"/>
      <w:u w:val="single"/>
    </w:rPr>
  </w:style>
  <w:style w:type="character" w:customStyle="1" w:styleId="Heading2Char">
    <w:name w:val="Heading 2 Char"/>
    <w:basedOn w:val="DefaultParagraphFont"/>
    <w:link w:val="Heading2"/>
    <w:uiPriority w:val="9"/>
    <w:rsid w:val="00DF01E8"/>
    <w:rPr>
      <w:rFonts w:ascii="Century Gothic" w:eastAsiaTheme="majorEastAsia" w:hAnsi="Century Gothic" w:cstheme="majorBidi"/>
      <w:b/>
      <w:bCs/>
      <w:sz w:val="26"/>
      <w:szCs w:val="26"/>
    </w:rPr>
  </w:style>
  <w:style w:type="character" w:customStyle="1" w:styleId="Heading3Char">
    <w:name w:val="Heading 3 Char"/>
    <w:basedOn w:val="DefaultParagraphFont"/>
    <w:link w:val="Heading3"/>
    <w:uiPriority w:val="9"/>
    <w:rsid w:val="00926E98"/>
    <w:rPr>
      <w:rFonts w:ascii="Century Gothic" w:eastAsiaTheme="majorEastAsia" w:hAnsi="Century Gothic" w:cstheme="majorBidi"/>
      <w:b/>
      <w:bCs/>
    </w:rPr>
  </w:style>
  <w:style w:type="table" w:styleId="TableGrid">
    <w:name w:val="Table Grid"/>
    <w:basedOn w:val="TableNormal"/>
    <w:uiPriority w:val="59"/>
    <w:rsid w:val="00926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D02181"/>
    <w:rPr>
      <w:rFonts w:asciiTheme="majorHAnsi" w:eastAsiaTheme="majorEastAsia" w:hAnsiTheme="majorHAnsi" w:cstheme="majorBidi"/>
      <w:b/>
      <w:bCs/>
      <w:i/>
      <w:iCs/>
      <w:color w:val="4F81BD" w:themeColor="accent1"/>
    </w:rPr>
  </w:style>
  <w:style w:type="paragraph" w:styleId="NoSpacing">
    <w:name w:val="No Spacing"/>
    <w:basedOn w:val="Normal"/>
    <w:uiPriority w:val="1"/>
    <w:qFormat/>
    <w:rsid w:val="00D02181"/>
    <w:pPr>
      <w:numPr>
        <w:numId w:val="5"/>
      </w:numPr>
      <w:spacing w:after="0" w:line="240" w:lineRule="auto"/>
    </w:pPr>
    <w:rPr>
      <w:rFonts w:eastAsiaTheme="minorEastAsia" w:cs="Arial"/>
      <w:szCs w:val="19"/>
      <w:lang w:val="en-GB" w:eastAsia="en-AU"/>
    </w:rPr>
  </w:style>
  <w:style w:type="paragraph" w:styleId="NormalWeb">
    <w:name w:val="Normal (Web)"/>
    <w:basedOn w:val="Normal"/>
    <w:uiPriority w:val="99"/>
    <w:semiHidden/>
    <w:unhideWhenUsed/>
    <w:rsid w:val="00817843"/>
    <w:pPr>
      <w:spacing w:before="100" w:beforeAutospacing="1" w:after="100" w:afterAutospacing="1" w:line="240" w:lineRule="auto"/>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72E40"/>
    <w:rPr>
      <w:sz w:val="16"/>
      <w:szCs w:val="16"/>
    </w:rPr>
  </w:style>
  <w:style w:type="paragraph" w:styleId="CommentText">
    <w:name w:val="annotation text"/>
    <w:basedOn w:val="Normal"/>
    <w:link w:val="CommentTextChar"/>
    <w:uiPriority w:val="99"/>
    <w:semiHidden/>
    <w:unhideWhenUsed/>
    <w:rsid w:val="00572E40"/>
    <w:pPr>
      <w:spacing w:line="240" w:lineRule="auto"/>
    </w:pPr>
    <w:rPr>
      <w:sz w:val="20"/>
      <w:szCs w:val="20"/>
    </w:rPr>
  </w:style>
  <w:style w:type="character" w:customStyle="1" w:styleId="CommentTextChar">
    <w:name w:val="Comment Text Char"/>
    <w:basedOn w:val="DefaultParagraphFont"/>
    <w:link w:val="CommentText"/>
    <w:uiPriority w:val="99"/>
    <w:semiHidden/>
    <w:rsid w:val="00572E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2E40"/>
    <w:rPr>
      <w:b/>
      <w:bCs/>
    </w:rPr>
  </w:style>
  <w:style w:type="character" w:customStyle="1" w:styleId="CommentSubjectChar">
    <w:name w:val="Comment Subject Char"/>
    <w:basedOn w:val="CommentTextChar"/>
    <w:link w:val="CommentSubject"/>
    <w:uiPriority w:val="99"/>
    <w:semiHidden/>
    <w:rsid w:val="00572E40"/>
    <w:rPr>
      <w:rFonts w:ascii="Arial" w:hAnsi="Arial"/>
      <w:b/>
      <w:bCs/>
      <w:sz w:val="20"/>
      <w:szCs w:val="20"/>
    </w:rPr>
  </w:style>
  <w:style w:type="paragraph" w:styleId="Revision">
    <w:name w:val="Revision"/>
    <w:hidden/>
    <w:uiPriority w:val="99"/>
    <w:semiHidden/>
    <w:rsid w:val="003C524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4896">
      <w:bodyDiv w:val="1"/>
      <w:marLeft w:val="0"/>
      <w:marRight w:val="0"/>
      <w:marTop w:val="0"/>
      <w:marBottom w:val="0"/>
      <w:divBdr>
        <w:top w:val="none" w:sz="0" w:space="0" w:color="auto"/>
        <w:left w:val="none" w:sz="0" w:space="0" w:color="auto"/>
        <w:bottom w:val="none" w:sz="0" w:space="0" w:color="auto"/>
        <w:right w:val="none" w:sz="0" w:space="0" w:color="auto"/>
      </w:divBdr>
    </w:div>
    <w:div w:id="84614999">
      <w:bodyDiv w:val="1"/>
      <w:marLeft w:val="0"/>
      <w:marRight w:val="0"/>
      <w:marTop w:val="0"/>
      <w:marBottom w:val="0"/>
      <w:divBdr>
        <w:top w:val="none" w:sz="0" w:space="0" w:color="auto"/>
        <w:left w:val="none" w:sz="0" w:space="0" w:color="auto"/>
        <w:bottom w:val="none" w:sz="0" w:space="0" w:color="auto"/>
        <w:right w:val="none" w:sz="0" w:space="0" w:color="auto"/>
      </w:divBdr>
    </w:div>
    <w:div w:id="752975466">
      <w:bodyDiv w:val="1"/>
      <w:marLeft w:val="0"/>
      <w:marRight w:val="0"/>
      <w:marTop w:val="0"/>
      <w:marBottom w:val="0"/>
      <w:divBdr>
        <w:top w:val="none" w:sz="0" w:space="0" w:color="auto"/>
        <w:left w:val="none" w:sz="0" w:space="0" w:color="auto"/>
        <w:bottom w:val="none" w:sz="0" w:space="0" w:color="auto"/>
        <w:right w:val="none" w:sz="0" w:space="0" w:color="auto"/>
      </w:divBdr>
    </w:div>
    <w:div w:id="797257326">
      <w:bodyDiv w:val="1"/>
      <w:marLeft w:val="0"/>
      <w:marRight w:val="0"/>
      <w:marTop w:val="0"/>
      <w:marBottom w:val="0"/>
      <w:divBdr>
        <w:top w:val="none" w:sz="0" w:space="0" w:color="auto"/>
        <w:left w:val="none" w:sz="0" w:space="0" w:color="auto"/>
        <w:bottom w:val="none" w:sz="0" w:space="0" w:color="auto"/>
        <w:right w:val="none" w:sz="0" w:space="0" w:color="auto"/>
      </w:divBdr>
    </w:div>
    <w:div w:id="1000695086">
      <w:bodyDiv w:val="1"/>
      <w:marLeft w:val="0"/>
      <w:marRight w:val="0"/>
      <w:marTop w:val="0"/>
      <w:marBottom w:val="0"/>
      <w:divBdr>
        <w:top w:val="none" w:sz="0" w:space="0" w:color="auto"/>
        <w:left w:val="none" w:sz="0" w:space="0" w:color="auto"/>
        <w:bottom w:val="none" w:sz="0" w:space="0" w:color="auto"/>
        <w:right w:val="none" w:sz="0" w:space="0" w:color="auto"/>
      </w:divBdr>
    </w:div>
    <w:div w:id="1010256063">
      <w:bodyDiv w:val="1"/>
      <w:marLeft w:val="0"/>
      <w:marRight w:val="0"/>
      <w:marTop w:val="0"/>
      <w:marBottom w:val="0"/>
      <w:divBdr>
        <w:top w:val="none" w:sz="0" w:space="0" w:color="auto"/>
        <w:left w:val="none" w:sz="0" w:space="0" w:color="auto"/>
        <w:bottom w:val="none" w:sz="0" w:space="0" w:color="auto"/>
        <w:right w:val="none" w:sz="0" w:space="0" w:color="auto"/>
      </w:divBdr>
    </w:div>
    <w:div w:id="1050421344">
      <w:bodyDiv w:val="1"/>
      <w:marLeft w:val="0"/>
      <w:marRight w:val="0"/>
      <w:marTop w:val="0"/>
      <w:marBottom w:val="0"/>
      <w:divBdr>
        <w:top w:val="none" w:sz="0" w:space="0" w:color="auto"/>
        <w:left w:val="none" w:sz="0" w:space="0" w:color="auto"/>
        <w:bottom w:val="none" w:sz="0" w:space="0" w:color="auto"/>
        <w:right w:val="none" w:sz="0" w:space="0" w:color="auto"/>
      </w:divBdr>
    </w:div>
    <w:div w:id="1232808599">
      <w:bodyDiv w:val="1"/>
      <w:marLeft w:val="0"/>
      <w:marRight w:val="0"/>
      <w:marTop w:val="0"/>
      <w:marBottom w:val="0"/>
      <w:divBdr>
        <w:top w:val="none" w:sz="0" w:space="0" w:color="auto"/>
        <w:left w:val="none" w:sz="0" w:space="0" w:color="auto"/>
        <w:bottom w:val="none" w:sz="0" w:space="0" w:color="auto"/>
        <w:right w:val="none" w:sz="0" w:space="0" w:color="auto"/>
      </w:divBdr>
    </w:div>
    <w:div w:id="1235091517">
      <w:bodyDiv w:val="1"/>
      <w:marLeft w:val="0"/>
      <w:marRight w:val="0"/>
      <w:marTop w:val="0"/>
      <w:marBottom w:val="0"/>
      <w:divBdr>
        <w:top w:val="none" w:sz="0" w:space="0" w:color="auto"/>
        <w:left w:val="none" w:sz="0" w:space="0" w:color="auto"/>
        <w:bottom w:val="none" w:sz="0" w:space="0" w:color="auto"/>
        <w:right w:val="none" w:sz="0" w:space="0" w:color="auto"/>
      </w:divBdr>
    </w:div>
    <w:div w:id="1390960963">
      <w:bodyDiv w:val="1"/>
      <w:marLeft w:val="0"/>
      <w:marRight w:val="0"/>
      <w:marTop w:val="0"/>
      <w:marBottom w:val="0"/>
      <w:divBdr>
        <w:top w:val="none" w:sz="0" w:space="0" w:color="auto"/>
        <w:left w:val="none" w:sz="0" w:space="0" w:color="auto"/>
        <w:bottom w:val="none" w:sz="0" w:space="0" w:color="auto"/>
        <w:right w:val="none" w:sz="0" w:space="0" w:color="auto"/>
      </w:divBdr>
    </w:div>
    <w:div w:id="1492019996">
      <w:bodyDiv w:val="1"/>
      <w:marLeft w:val="0"/>
      <w:marRight w:val="0"/>
      <w:marTop w:val="0"/>
      <w:marBottom w:val="0"/>
      <w:divBdr>
        <w:top w:val="none" w:sz="0" w:space="0" w:color="auto"/>
        <w:left w:val="none" w:sz="0" w:space="0" w:color="auto"/>
        <w:bottom w:val="none" w:sz="0" w:space="0" w:color="auto"/>
        <w:right w:val="none" w:sz="0" w:space="0" w:color="auto"/>
      </w:divBdr>
    </w:div>
    <w:div w:id="1683315955">
      <w:bodyDiv w:val="1"/>
      <w:marLeft w:val="0"/>
      <w:marRight w:val="0"/>
      <w:marTop w:val="0"/>
      <w:marBottom w:val="0"/>
      <w:divBdr>
        <w:top w:val="none" w:sz="0" w:space="0" w:color="auto"/>
        <w:left w:val="none" w:sz="0" w:space="0" w:color="auto"/>
        <w:bottom w:val="none" w:sz="0" w:space="0" w:color="auto"/>
        <w:right w:val="none" w:sz="0" w:space="0" w:color="auto"/>
      </w:divBdr>
    </w:div>
    <w:div w:id="1766226706">
      <w:bodyDiv w:val="1"/>
      <w:marLeft w:val="0"/>
      <w:marRight w:val="0"/>
      <w:marTop w:val="0"/>
      <w:marBottom w:val="0"/>
      <w:divBdr>
        <w:top w:val="none" w:sz="0" w:space="0" w:color="auto"/>
        <w:left w:val="none" w:sz="0" w:space="0" w:color="auto"/>
        <w:bottom w:val="none" w:sz="0" w:space="0" w:color="auto"/>
        <w:right w:val="none" w:sz="0" w:space="0" w:color="auto"/>
      </w:divBdr>
    </w:div>
    <w:div w:id="1767773788">
      <w:bodyDiv w:val="1"/>
      <w:marLeft w:val="0"/>
      <w:marRight w:val="0"/>
      <w:marTop w:val="0"/>
      <w:marBottom w:val="0"/>
      <w:divBdr>
        <w:top w:val="none" w:sz="0" w:space="0" w:color="auto"/>
        <w:left w:val="none" w:sz="0" w:space="0" w:color="auto"/>
        <w:bottom w:val="none" w:sz="0" w:space="0" w:color="auto"/>
        <w:right w:val="none" w:sz="0" w:space="0" w:color="auto"/>
      </w:divBdr>
    </w:div>
    <w:div w:id="2064135217">
      <w:bodyDiv w:val="1"/>
      <w:marLeft w:val="0"/>
      <w:marRight w:val="0"/>
      <w:marTop w:val="0"/>
      <w:marBottom w:val="0"/>
      <w:divBdr>
        <w:top w:val="none" w:sz="0" w:space="0" w:color="auto"/>
        <w:left w:val="none" w:sz="0" w:space="0" w:color="auto"/>
        <w:bottom w:val="none" w:sz="0" w:space="0" w:color="auto"/>
        <w:right w:val="none" w:sz="0" w:space="0" w:color="auto"/>
      </w:divBdr>
    </w:div>
    <w:div w:id="2076509753">
      <w:bodyDiv w:val="1"/>
      <w:marLeft w:val="0"/>
      <w:marRight w:val="0"/>
      <w:marTop w:val="0"/>
      <w:marBottom w:val="0"/>
      <w:divBdr>
        <w:top w:val="none" w:sz="0" w:space="0" w:color="auto"/>
        <w:left w:val="none" w:sz="0" w:space="0" w:color="auto"/>
        <w:bottom w:val="none" w:sz="0" w:space="0" w:color="auto"/>
        <w:right w:val="none" w:sz="0" w:space="0" w:color="auto"/>
      </w:divBdr>
    </w:div>
    <w:div w:id="211721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vcossdc\shared\DARU\Projects\OFD%20aggregated%20QDC%20data\QDC%20-%20additional%20transform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cossdc\shared\DARU\Projects\OFD%20aggregated%20QDC%20data\QDC%20-%20additional%20transform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cossdc\shared\DARU\Projects\OFD%20aggregated%20QDC%20data\QDC%20-%20additional%20transform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cossdc\shared\DARU\Projects\OFD%20aggregated%20QDC%20data\QDC%20-%20additional%20transform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Clients!$B$1</c:f>
              <c:strCache>
                <c:ptCount val="1"/>
                <c:pt idx="0">
                  <c:v>New clients</c:v>
                </c:pt>
              </c:strCache>
            </c:strRef>
          </c:tx>
          <c:spPr>
            <a:solidFill>
              <a:schemeClr val="tx2"/>
            </a:solidFill>
          </c:spPr>
          <c:invertIfNegative val="0"/>
          <c:cat>
            <c:strRef>
              <c:f>Clients!$A$2:$A$5</c:f>
              <c:strCache>
                <c:ptCount val="4"/>
                <c:pt idx="0">
                  <c:v>Jul-Sep 2012</c:v>
                </c:pt>
                <c:pt idx="1">
                  <c:v>Oct-Dec 2012</c:v>
                </c:pt>
                <c:pt idx="2">
                  <c:v>Jan-Mar 2013</c:v>
                </c:pt>
                <c:pt idx="3">
                  <c:v>Apr-Jun 2013</c:v>
                </c:pt>
              </c:strCache>
            </c:strRef>
          </c:cat>
          <c:val>
            <c:numRef>
              <c:f>Clients!$B$2:$B$5</c:f>
              <c:numCache>
                <c:formatCode>General</c:formatCode>
                <c:ptCount val="4"/>
                <c:pt idx="0">
                  <c:v>458</c:v>
                </c:pt>
                <c:pt idx="1">
                  <c:v>373</c:v>
                </c:pt>
                <c:pt idx="2">
                  <c:v>336</c:v>
                </c:pt>
                <c:pt idx="3">
                  <c:v>465</c:v>
                </c:pt>
              </c:numCache>
            </c:numRef>
          </c:val>
        </c:ser>
        <c:ser>
          <c:idx val="1"/>
          <c:order val="1"/>
          <c:tx>
            <c:strRef>
              <c:f>Clients!$C$1</c:f>
              <c:strCache>
                <c:ptCount val="1"/>
                <c:pt idx="0">
                  <c:v>Exisiting clients</c:v>
                </c:pt>
              </c:strCache>
            </c:strRef>
          </c:tx>
          <c:spPr>
            <a:solidFill>
              <a:schemeClr val="tx2">
                <a:lumMod val="20000"/>
                <a:lumOff val="80000"/>
              </a:schemeClr>
            </a:solidFill>
          </c:spPr>
          <c:invertIfNegative val="0"/>
          <c:cat>
            <c:strRef>
              <c:f>Clients!$A$2:$A$5</c:f>
              <c:strCache>
                <c:ptCount val="4"/>
                <c:pt idx="0">
                  <c:v>Jul-Sep 2012</c:v>
                </c:pt>
                <c:pt idx="1">
                  <c:v>Oct-Dec 2012</c:v>
                </c:pt>
                <c:pt idx="2">
                  <c:v>Jan-Mar 2013</c:v>
                </c:pt>
                <c:pt idx="3">
                  <c:v>Apr-Jun 2013</c:v>
                </c:pt>
              </c:strCache>
            </c:strRef>
          </c:cat>
          <c:val>
            <c:numRef>
              <c:f>Clients!$C$2:$C$5</c:f>
              <c:numCache>
                <c:formatCode>General</c:formatCode>
                <c:ptCount val="4"/>
                <c:pt idx="0">
                  <c:v>423</c:v>
                </c:pt>
                <c:pt idx="1">
                  <c:v>336</c:v>
                </c:pt>
                <c:pt idx="2">
                  <c:v>263</c:v>
                </c:pt>
                <c:pt idx="3">
                  <c:v>370</c:v>
                </c:pt>
              </c:numCache>
            </c:numRef>
          </c:val>
        </c:ser>
        <c:dLbls>
          <c:showLegendKey val="0"/>
          <c:showVal val="0"/>
          <c:showCatName val="0"/>
          <c:showSerName val="0"/>
          <c:showPercent val="0"/>
          <c:showBubbleSize val="0"/>
        </c:dLbls>
        <c:gapWidth val="150"/>
        <c:axId val="125699968"/>
        <c:axId val="33637888"/>
      </c:barChart>
      <c:catAx>
        <c:axId val="125699968"/>
        <c:scaling>
          <c:orientation val="minMax"/>
        </c:scaling>
        <c:delete val="0"/>
        <c:axPos val="b"/>
        <c:title>
          <c:tx>
            <c:rich>
              <a:bodyPr/>
              <a:lstStyle/>
              <a:p>
                <a:pPr>
                  <a:defRPr/>
                </a:pPr>
                <a:r>
                  <a:rPr lang="en-AU"/>
                  <a:t>Quarter</a:t>
                </a:r>
              </a:p>
            </c:rich>
          </c:tx>
          <c:overlay val="0"/>
        </c:title>
        <c:majorTickMark val="none"/>
        <c:minorTickMark val="none"/>
        <c:tickLblPos val="nextTo"/>
        <c:crossAx val="33637888"/>
        <c:crosses val="autoZero"/>
        <c:auto val="1"/>
        <c:lblAlgn val="ctr"/>
        <c:lblOffset val="100"/>
        <c:noMultiLvlLbl val="0"/>
      </c:catAx>
      <c:valAx>
        <c:axId val="33637888"/>
        <c:scaling>
          <c:orientation val="minMax"/>
        </c:scaling>
        <c:delete val="0"/>
        <c:axPos val="l"/>
        <c:majorGridlines/>
        <c:title>
          <c:tx>
            <c:rich>
              <a:bodyPr/>
              <a:lstStyle/>
              <a:p>
                <a:pPr>
                  <a:defRPr/>
                </a:pPr>
                <a:r>
                  <a:rPr lang="en-AU"/>
                  <a:t>Number</a:t>
                </a:r>
                <a:r>
                  <a:rPr lang="en-AU" baseline="0"/>
                  <a:t> of clients receiivng services</a:t>
                </a:r>
                <a:endParaRPr lang="en-AU"/>
              </a:p>
            </c:rich>
          </c:tx>
          <c:overlay val="0"/>
        </c:title>
        <c:numFmt formatCode="General" sourceLinked="1"/>
        <c:majorTickMark val="out"/>
        <c:minorTickMark val="none"/>
        <c:tickLblPos val="nextTo"/>
        <c:crossAx val="1256999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Gender!$B$3</c:f>
              <c:strCache>
                <c:ptCount val="1"/>
                <c:pt idx="0">
                  <c:v>Male</c:v>
                </c:pt>
              </c:strCache>
            </c:strRef>
          </c:tx>
          <c:spPr>
            <a:solidFill>
              <a:schemeClr val="tx2"/>
            </a:solidFill>
          </c:spPr>
          <c:invertIfNegative val="0"/>
          <c:cat>
            <c:strRef>
              <c:f>Gender!$A$4:$A$7</c:f>
              <c:strCache>
                <c:ptCount val="4"/>
                <c:pt idx="0">
                  <c:v>Jul-Sep 2012</c:v>
                </c:pt>
                <c:pt idx="1">
                  <c:v>Oct-Dec 2012</c:v>
                </c:pt>
                <c:pt idx="2">
                  <c:v>Jan-Mar 2013</c:v>
                </c:pt>
                <c:pt idx="3">
                  <c:v>Apr-Jun 2013</c:v>
                </c:pt>
              </c:strCache>
            </c:strRef>
          </c:cat>
          <c:val>
            <c:numRef>
              <c:f>Gender!$B$4:$B$7</c:f>
              <c:numCache>
                <c:formatCode>General</c:formatCode>
                <c:ptCount val="4"/>
                <c:pt idx="0">
                  <c:v>200</c:v>
                </c:pt>
                <c:pt idx="1">
                  <c:v>137</c:v>
                </c:pt>
                <c:pt idx="2">
                  <c:v>213</c:v>
                </c:pt>
                <c:pt idx="3">
                  <c:v>238</c:v>
                </c:pt>
              </c:numCache>
            </c:numRef>
          </c:val>
        </c:ser>
        <c:ser>
          <c:idx val="1"/>
          <c:order val="1"/>
          <c:tx>
            <c:strRef>
              <c:f>Gender!$C$3</c:f>
              <c:strCache>
                <c:ptCount val="1"/>
                <c:pt idx="0">
                  <c:v>Female</c:v>
                </c:pt>
              </c:strCache>
            </c:strRef>
          </c:tx>
          <c:spPr>
            <a:solidFill>
              <a:schemeClr val="tx2">
                <a:lumMod val="40000"/>
                <a:lumOff val="60000"/>
              </a:schemeClr>
            </a:solidFill>
          </c:spPr>
          <c:invertIfNegative val="0"/>
          <c:cat>
            <c:strRef>
              <c:f>Gender!$A$4:$A$7</c:f>
              <c:strCache>
                <c:ptCount val="4"/>
                <c:pt idx="0">
                  <c:v>Jul-Sep 2012</c:v>
                </c:pt>
                <c:pt idx="1">
                  <c:v>Oct-Dec 2012</c:v>
                </c:pt>
                <c:pt idx="2">
                  <c:v>Jan-Mar 2013</c:v>
                </c:pt>
                <c:pt idx="3">
                  <c:v>Apr-Jun 2013</c:v>
                </c:pt>
              </c:strCache>
            </c:strRef>
          </c:cat>
          <c:val>
            <c:numRef>
              <c:f>Gender!$C$4:$C$7</c:f>
              <c:numCache>
                <c:formatCode>General</c:formatCode>
                <c:ptCount val="4"/>
                <c:pt idx="0">
                  <c:v>164</c:v>
                </c:pt>
                <c:pt idx="1">
                  <c:v>146</c:v>
                </c:pt>
                <c:pt idx="2">
                  <c:v>198</c:v>
                </c:pt>
                <c:pt idx="3">
                  <c:v>207</c:v>
                </c:pt>
              </c:numCache>
            </c:numRef>
          </c:val>
        </c:ser>
        <c:ser>
          <c:idx val="2"/>
          <c:order val="2"/>
          <c:tx>
            <c:strRef>
              <c:f>Gender!$D$3</c:f>
              <c:strCache>
                <c:ptCount val="1"/>
                <c:pt idx="0">
                  <c:v>Transgender</c:v>
                </c:pt>
              </c:strCache>
            </c:strRef>
          </c:tx>
          <c:spPr>
            <a:pattFill prst="ltUpDiag">
              <a:fgClr>
                <a:schemeClr val="tx1"/>
              </a:fgClr>
              <a:bgClr>
                <a:schemeClr val="bg1"/>
              </a:bgClr>
            </a:pattFill>
            <a:ln>
              <a:solidFill>
                <a:schemeClr val="tx1"/>
              </a:solidFill>
            </a:ln>
          </c:spPr>
          <c:invertIfNegative val="0"/>
          <c:cat>
            <c:strRef>
              <c:f>Gender!$A$4:$A$7</c:f>
              <c:strCache>
                <c:ptCount val="4"/>
                <c:pt idx="0">
                  <c:v>Jul-Sep 2012</c:v>
                </c:pt>
                <c:pt idx="1">
                  <c:v>Oct-Dec 2012</c:v>
                </c:pt>
                <c:pt idx="2">
                  <c:v>Jan-Mar 2013</c:v>
                </c:pt>
                <c:pt idx="3">
                  <c:v>Apr-Jun 2013</c:v>
                </c:pt>
              </c:strCache>
            </c:strRef>
          </c:cat>
          <c:val>
            <c:numRef>
              <c:f>Gender!$D$4:$D$7</c:f>
              <c:numCache>
                <c:formatCode>General</c:formatCode>
                <c:ptCount val="4"/>
                <c:pt idx="0">
                  <c:v>1</c:v>
                </c:pt>
                <c:pt idx="1">
                  <c:v>1</c:v>
                </c:pt>
                <c:pt idx="2">
                  <c:v>28</c:v>
                </c:pt>
                <c:pt idx="3">
                  <c:v>18</c:v>
                </c:pt>
              </c:numCache>
            </c:numRef>
          </c:val>
        </c:ser>
        <c:ser>
          <c:idx val="3"/>
          <c:order val="3"/>
          <c:tx>
            <c:strRef>
              <c:f>Gender!$E$3</c:f>
              <c:strCache>
                <c:ptCount val="1"/>
                <c:pt idx="0">
                  <c:v>Not reported</c:v>
                </c:pt>
              </c:strCache>
            </c:strRef>
          </c:tx>
          <c:spPr>
            <a:solidFill>
              <a:schemeClr val="bg1">
                <a:lumMod val="65000"/>
              </a:schemeClr>
            </a:solidFill>
            <a:ln>
              <a:noFill/>
            </a:ln>
          </c:spPr>
          <c:invertIfNegative val="0"/>
          <c:cat>
            <c:strRef>
              <c:f>Gender!$A$4:$A$7</c:f>
              <c:strCache>
                <c:ptCount val="4"/>
                <c:pt idx="0">
                  <c:v>Jul-Sep 2012</c:v>
                </c:pt>
                <c:pt idx="1">
                  <c:v>Oct-Dec 2012</c:v>
                </c:pt>
                <c:pt idx="2">
                  <c:v>Jan-Mar 2013</c:v>
                </c:pt>
                <c:pt idx="3">
                  <c:v>Apr-Jun 2013</c:v>
                </c:pt>
              </c:strCache>
            </c:strRef>
          </c:cat>
          <c:val>
            <c:numRef>
              <c:f>Gender!$E$4:$E$7</c:f>
              <c:numCache>
                <c:formatCode>General</c:formatCode>
                <c:ptCount val="4"/>
                <c:pt idx="0">
                  <c:v>516</c:v>
                </c:pt>
                <c:pt idx="1">
                  <c:v>425</c:v>
                </c:pt>
                <c:pt idx="2">
                  <c:v>160</c:v>
                </c:pt>
                <c:pt idx="3">
                  <c:v>372</c:v>
                </c:pt>
              </c:numCache>
            </c:numRef>
          </c:val>
        </c:ser>
        <c:dLbls>
          <c:showLegendKey val="0"/>
          <c:showVal val="0"/>
          <c:showCatName val="0"/>
          <c:showSerName val="0"/>
          <c:showPercent val="0"/>
          <c:showBubbleSize val="0"/>
        </c:dLbls>
        <c:gapWidth val="300"/>
        <c:axId val="33714176"/>
        <c:axId val="33716096"/>
      </c:barChart>
      <c:catAx>
        <c:axId val="33714176"/>
        <c:scaling>
          <c:orientation val="minMax"/>
        </c:scaling>
        <c:delete val="0"/>
        <c:axPos val="b"/>
        <c:title>
          <c:tx>
            <c:rich>
              <a:bodyPr/>
              <a:lstStyle/>
              <a:p>
                <a:pPr>
                  <a:defRPr/>
                </a:pPr>
                <a:r>
                  <a:rPr lang="en-AU"/>
                  <a:t>Quarter</a:t>
                </a:r>
              </a:p>
            </c:rich>
          </c:tx>
          <c:overlay val="0"/>
        </c:title>
        <c:majorTickMark val="none"/>
        <c:minorTickMark val="none"/>
        <c:tickLblPos val="nextTo"/>
        <c:crossAx val="33716096"/>
        <c:crosses val="autoZero"/>
        <c:auto val="1"/>
        <c:lblAlgn val="ctr"/>
        <c:lblOffset val="100"/>
        <c:noMultiLvlLbl val="0"/>
      </c:catAx>
      <c:valAx>
        <c:axId val="33716096"/>
        <c:scaling>
          <c:orientation val="minMax"/>
        </c:scaling>
        <c:delete val="0"/>
        <c:axPos val="l"/>
        <c:majorGridlines/>
        <c:minorGridlines>
          <c:spPr>
            <a:ln>
              <a:noFill/>
            </a:ln>
          </c:spPr>
        </c:minorGridlines>
        <c:title>
          <c:tx>
            <c:rich>
              <a:bodyPr/>
              <a:lstStyle/>
              <a:p>
                <a:pPr>
                  <a:defRPr/>
                </a:pPr>
                <a:r>
                  <a:rPr lang="en-AU"/>
                  <a:t>Number of clients</a:t>
                </a:r>
              </a:p>
            </c:rich>
          </c:tx>
          <c:overlay val="0"/>
        </c:title>
        <c:numFmt formatCode="General" sourceLinked="1"/>
        <c:majorTickMark val="out"/>
        <c:minorTickMark val="none"/>
        <c:tickLblPos val="nextTo"/>
        <c:crossAx val="3371417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Age!$B$6</c:f>
              <c:strCache>
                <c:ptCount val="1"/>
                <c:pt idx="0">
                  <c:v>0-4</c:v>
                </c:pt>
              </c:strCache>
            </c:strRef>
          </c:tx>
          <c:spPr>
            <a:solidFill>
              <a:schemeClr val="tx2"/>
            </a:solidFill>
          </c:spPr>
          <c:invertIfNegative val="0"/>
          <c:cat>
            <c:strRef>
              <c:f>Age!$A$7:$A$10</c:f>
              <c:strCache>
                <c:ptCount val="4"/>
                <c:pt idx="0">
                  <c:v>Jul-Sep 2012</c:v>
                </c:pt>
                <c:pt idx="1">
                  <c:v>Oct-Dec 2012</c:v>
                </c:pt>
                <c:pt idx="2">
                  <c:v>Jan-Mar 2013</c:v>
                </c:pt>
                <c:pt idx="3">
                  <c:v>Apr-Jun 2013</c:v>
                </c:pt>
              </c:strCache>
            </c:strRef>
          </c:cat>
          <c:val>
            <c:numRef>
              <c:f>Age!$B$7:$B$10</c:f>
              <c:numCache>
                <c:formatCode>General</c:formatCode>
                <c:ptCount val="4"/>
                <c:pt idx="0">
                  <c:v>46</c:v>
                </c:pt>
                <c:pt idx="1">
                  <c:v>9</c:v>
                </c:pt>
                <c:pt idx="2">
                  <c:v>7</c:v>
                </c:pt>
                <c:pt idx="3">
                  <c:v>7</c:v>
                </c:pt>
              </c:numCache>
            </c:numRef>
          </c:val>
        </c:ser>
        <c:ser>
          <c:idx val="1"/>
          <c:order val="1"/>
          <c:tx>
            <c:strRef>
              <c:f>Age!$C$6</c:f>
              <c:strCache>
                <c:ptCount val="1"/>
                <c:pt idx="0">
                  <c:v> 5 - 14</c:v>
                </c:pt>
              </c:strCache>
            </c:strRef>
          </c:tx>
          <c:spPr>
            <a:solidFill>
              <a:schemeClr val="tx2">
                <a:lumMod val="40000"/>
                <a:lumOff val="60000"/>
              </a:schemeClr>
            </a:solidFill>
          </c:spPr>
          <c:invertIfNegative val="0"/>
          <c:cat>
            <c:strRef>
              <c:f>Age!$A$7:$A$10</c:f>
              <c:strCache>
                <c:ptCount val="4"/>
                <c:pt idx="0">
                  <c:v>Jul-Sep 2012</c:v>
                </c:pt>
                <c:pt idx="1">
                  <c:v>Oct-Dec 2012</c:v>
                </c:pt>
                <c:pt idx="2">
                  <c:v>Jan-Mar 2013</c:v>
                </c:pt>
                <c:pt idx="3">
                  <c:v>Apr-Jun 2013</c:v>
                </c:pt>
              </c:strCache>
            </c:strRef>
          </c:cat>
          <c:val>
            <c:numRef>
              <c:f>Age!$C$7:$C$10</c:f>
              <c:numCache>
                <c:formatCode>General</c:formatCode>
                <c:ptCount val="4"/>
                <c:pt idx="0">
                  <c:v>207</c:v>
                </c:pt>
                <c:pt idx="1">
                  <c:v>35</c:v>
                </c:pt>
                <c:pt idx="2">
                  <c:v>47</c:v>
                </c:pt>
                <c:pt idx="3">
                  <c:v>95</c:v>
                </c:pt>
              </c:numCache>
            </c:numRef>
          </c:val>
        </c:ser>
        <c:ser>
          <c:idx val="2"/>
          <c:order val="2"/>
          <c:tx>
            <c:strRef>
              <c:f>Age!$D$6</c:f>
              <c:strCache>
                <c:ptCount val="1"/>
                <c:pt idx="0">
                  <c:v>15 - 24</c:v>
                </c:pt>
              </c:strCache>
            </c:strRef>
          </c:tx>
          <c:spPr>
            <a:pattFill prst="ltUpDiag">
              <a:fgClr>
                <a:schemeClr val="tx1"/>
              </a:fgClr>
              <a:bgClr>
                <a:schemeClr val="bg1"/>
              </a:bgClr>
            </a:pattFill>
            <a:ln>
              <a:solidFill>
                <a:schemeClr val="tx1"/>
              </a:solidFill>
            </a:ln>
          </c:spPr>
          <c:invertIfNegative val="0"/>
          <c:cat>
            <c:strRef>
              <c:f>Age!$A$7:$A$10</c:f>
              <c:strCache>
                <c:ptCount val="4"/>
                <c:pt idx="0">
                  <c:v>Jul-Sep 2012</c:v>
                </c:pt>
                <c:pt idx="1">
                  <c:v>Oct-Dec 2012</c:v>
                </c:pt>
                <c:pt idx="2">
                  <c:v>Jan-Mar 2013</c:v>
                </c:pt>
                <c:pt idx="3">
                  <c:v>Apr-Jun 2013</c:v>
                </c:pt>
              </c:strCache>
            </c:strRef>
          </c:cat>
          <c:val>
            <c:numRef>
              <c:f>Age!$D$7:$D$10</c:f>
              <c:numCache>
                <c:formatCode>General</c:formatCode>
                <c:ptCount val="4"/>
                <c:pt idx="0">
                  <c:v>107</c:v>
                </c:pt>
                <c:pt idx="1">
                  <c:v>62</c:v>
                </c:pt>
                <c:pt idx="2">
                  <c:v>99</c:v>
                </c:pt>
                <c:pt idx="3">
                  <c:v>72</c:v>
                </c:pt>
              </c:numCache>
            </c:numRef>
          </c:val>
        </c:ser>
        <c:ser>
          <c:idx val="3"/>
          <c:order val="3"/>
          <c:tx>
            <c:strRef>
              <c:f>Age!$E$6</c:f>
              <c:strCache>
                <c:ptCount val="1"/>
                <c:pt idx="0">
                  <c:v>25 - 64</c:v>
                </c:pt>
              </c:strCache>
            </c:strRef>
          </c:tx>
          <c:spPr>
            <a:solidFill>
              <a:schemeClr val="accent3">
                <a:lumMod val="75000"/>
              </a:schemeClr>
            </a:solidFill>
          </c:spPr>
          <c:invertIfNegative val="0"/>
          <c:cat>
            <c:strRef>
              <c:f>Age!$A$7:$A$10</c:f>
              <c:strCache>
                <c:ptCount val="4"/>
                <c:pt idx="0">
                  <c:v>Jul-Sep 2012</c:v>
                </c:pt>
                <c:pt idx="1">
                  <c:v>Oct-Dec 2012</c:v>
                </c:pt>
                <c:pt idx="2">
                  <c:v>Jan-Mar 2013</c:v>
                </c:pt>
                <c:pt idx="3">
                  <c:v>Apr-Jun 2013</c:v>
                </c:pt>
              </c:strCache>
            </c:strRef>
          </c:cat>
          <c:val>
            <c:numRef>
              <c:f>Age!$E$7:$E$10</c:f>
              <c:numCache>
                <c:formatCode>General</c:formatCode>
                <c:ptCount val="4"/>
                <c:pt idx="0">
                  <c:v>313</c:v>
                </c:pt>
                <c:pt idx="1">
                  <c:v>160</c:v>
                </c:pt>
                <c:pt idx="2">
                  <c:v>247</c:v>
                </c:pt>
                <c:pt idx="3">
                  <c:v>253</c:v>
                </c:pt>
              </c:numCache>
            </c:numRef>
          </c:val>
        </c:ser>
        <c:ser>
          <c:idx val="4"/>
          <c:order val="4"/>
          <c:tx>
            <c:strRef>
              <c:f>Age!$F$6</c:f>
              <c:strCache>
                <c:ptCount val="1"/>
                <c:pt idx="0">
                  <c:v>65 and over</c:v>
                </c:pt>
              </c:strCache>
            </c:strRef>
          </c:tx>
          <c:spPr>
            <a:solidFill>
              <a:schemeClr val="accent3">
                <a:lumMod val="20000"/>
                <a:lumOff val="80000"/>
              </a:schemeClr>
            </a:solidFill>
          </c:spPr>
          <c:invertIfNegative val="0"/>
          <c:cat>
            <c:strRef>
              <c:f>Age!$A$7:$A$10</c:f>
              <c:strCache>
                <c:ptCount val="4"/>
                <c:pt idx="0">
                  <c:v>Jul-Sep 2012</c:v>
                </c:pt>
                <c:pt idx="1">
                  <c:v>Oct-Dec 2012</c:v>
                </c:pt>
                <c:pt idx="2">
                  <c:v>Jan-Mar 2013</c:v>
                </c:pt>
                <c:pt idx="3">
                  <c:v>Apr-Jun 2013</c:v>
                </c:pt>
              </c:strCache>
            </c:strRef>
          </c:cat>
          <c:val>
            <c:numRef>
              <c:f>Age!$F$7:$F$10</c:f>
              <c:numCache>
                <c:formatCode>General</c:formatCode>
                <c:ptCount val="4"/>
                <c:pt idx="0">
                  <c:v>31</c:v>
                </c:pt>
                <c:pt idx="1">
                  <c:v>23</c:v>
                </c:pt>
                <c:pt idx="2">
                  <c:v>15</c:v>
                </c:pt>
                <c:pt idx="3">
                  <c:v>19</c:v>
                </c:pt>
              </c:numCache>
            </c:numRef>
          </c:val>
        </c:ser>
        <c:ser>
          <c:idx val="5"/>
          <c:order val="5"/>
          <c:tx>
            <c:strRef>
              <c:f>Age!$G$6</c:f>
              <c:strCache>
                <c:ptCount val="1"/>
                <c:pt idx="0">
                  <c:v>Not reported</c:v>
                </c:pt>
              </c:strCache>
            </c:strRef>
          </c:tx>
          <c:spPr>
            <a:solidFill>
              <a:schemeClr val="bg1">
                <a:lumMod val="65000"/>
              </a:schemeClr>
            </a:solidFill>
          </c:spPr>
          <c:invertIfNegative val="0"/>
          <c:cat>
            <c:strRef>
              <c:f>Age!$A$7:$A$10</c:f>
              <c:strCache>
                <c:ptCount val="4"/>
                <c:pt idx="0">
                  <c:v>Jul-Sep 2012</c:v>
                </c:pt>
                <c:pt idx="1">
                  <c:v>Oct-Dec 2012</c:v>
                </c:pt>
                <c:pt idx="2">
                  <c:v>Jan-Mar 2013</c:v>
                </c:pt>
                <c:pt idx="3">
                  <c:v>Apr-Jun 2013</c:v>
                </c:pt>
              </c:strCache>
            </c:strRef>
          </c:cat>
          <c:val>
            <c:numRef>
              <c:f>Age!$G$7:$G$10</c:f>
              <c:numCache>
                <c:formatCode>General</c:formatCode>
                <c:ptCount val="4"/>
                <c:pt idx="0">
                  <c:v>177</c:v>
                </c:pt>
                <c:pt idx="1">
                  <c:v>420</c:v>
                </c:pt>
                <c:pt idx="2">
                  <c:v>184</c:v>
                </c:pt>
                <c:pt idx="3">
                  <c:v>389</c:v>
                </c:pt>
              </c:numCache>
            </c:numRef>
          </c:val>
        </c:ser>
        <c:dLbls>
          <c:showLegendKey val="0"/>
          <c:showVal val="0"/>
          <c:showCatName val="0"/>
          <c:showSerName val="0"/>
          <c:showPercent val="0"/>
          <c:showBubbleSize val="0"/>
        </c:dLbls>
        <c:gapWidth val="300"/>
        <c:axId val="36114816"/>
        <c:axId val="36116736"/>
      </c:barChart>
      <c:catAx>
        <c:axId val="36114816"/>
        <c:scaling>
          <c:orientation val="minMax"/>
        </c:scaling>
        <c:delete val="0"/>
        <c:axPos val="b"/>
        <c:title>
          <c:tx>
            <c:rich>
              <a:bodyPr/>
              <a:lstStyle/>
              <a:p>
                <a:pPr>
                  <a:defRPr/>
                </a:pPr>
                <a:r>
                  <a:rPr lang="en-AU"/>
                  <a:t>Quarter</a:t>
                </a:r>
              </a:p>
            </c:rich>
          </c:tx>
          <c:overlay val="0"/>
        </c:title>
        <c:majorTickMark val="none"/>
        <c:minorTickMark val="none"/>
        <c:tickLblPos val="nextTo"/>
        <c:crossAx val="36116736"/>
        <c:crosses val="autoZero"/>
        <c:auto val="1"/>
        <c:lblAlgn val="ctr"/>
        <c:lblOffset val="100"/>
        <c:noMultiLvlLbl val="0"/>
      </c:catAx>
      <c:valAx>
        <c:axId val="36116736"/>
        <c:scaling>
          <c:orientation val="minMax"/>
        </c:scaling>
        <c:delete val="0"/>
        <c:axPos val="l"/>
        <c:majorGridlines/>
        <c:minorGridlines>
          <c:spPr>
            <a:ln>
              <a:noFill/>
            </a:ln>
          </c:spPr>
        </c:minorGridlines>
        <c:title>
          <c:tx>
            <c:rich>
              <a:bodyPr/>
              <a:lstStyle/>
              <a:p>
                <a:pPr>
                  <a:defRPr/>
                </a:pPr>
                <a:r>
                  <a:rPr lang="en-AU"/>
                  <a:t>Number of clients</a:t>
                </a:r>
              </a:p>
            </c:rich>
          </c:tx>
          <c:overlay val="0"/>
        </c:title>
        <c:numFmt formatCode="General" sourceLinked="1"/>
        <c:majorTickMark val="out"/>
        <c:minorTickMark val="none"/>
        <c:tickLblPos val="nextTo"/>
        <c:crossAx val="3611481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Culture!$B$4</c:f>
              <c:strCache>
                <c:ptCount val="1"/>
                <c:pt idx="0">
                  <c:v>Aboriginal</c:v>
                </c:pt>
              </c:strCache>
            </c:strRef>
          </c:tx>
          <c:spPr>
            <a:solidFill>
              <a:schemeClr val="tx2"/>
            </a:solidFill>
          </c:spPr>
          <c:invertIfNegative val="0"/>
          <c:cat>
            <c:strRef>
              <c:f>Culture!$A$5:$A$8</c:f>
              <c:strCache>
                <c:ptCount val="4"/>
                <c:pt idx="0">
                  <c:v>Jul-Sep 2012</c:v>
                </c:pt>
                <c:pt idx="1">
                  <c:v>Oct-Dec 2012</c:v>
                </c:pt>
                <c:pt idx="2">
                  <c:v>Jan-Mar 2013</c:v>
                </c:pt>
                <c:pt idx="3">
                  <c:v>Apr-Jun 2013</c:v>
                </c:pt>
              </c:strCache>
            </c:strRef>
          </c:cat>
          <c:val>
            <c:numRef>
              <c:f>Culture!$B$5:$B$8</c:f>
              <c:numCache>
                <c:formatCode>General</c:formatCode>
                <c:ptCount val="4"/>
                <c:pt idx="0">
                  <c:v>31</c:v>
                </c:pt>
                <c:pt idx="1">
                  <c:v>8</c:v>
                </c:pt>
                <c:pt idx="2">
                  <c:v>41</c:v>
                </c:pt>
                <c:pt idx="3">
                  <c:v>14</c:v>
                </c:pt>
              </c:numCache>
            </c:numRef>
          </c:val>
        </c:ser>
        <c:ser>
          <c:idx val="1"/>
          <c:order val="1"/>
          <c:tx>
            <c:strRef>
              <c:f>Culture!$C$4</c:f>
              <c:strCache>
                <c:ptCount val="1"/>
                <c:pt idx="0">
                  <c:v>CALD</c:v>
                </c:pt>
              </c:strCache>
            </c:strRef>
          </c:tx>
          <c:spPr>
            <a:solidFill>
              <a:schemeClr val="tx2">
                <a:lumMod val="40000"/>
                <a:lumOff val="60000"/>
              </a:schemeClr>
            </a:solidFill>
          </c:spPr>
          <c:invertIfNegative val="0"/>
          <c:cat>
            <c:strRef>
              <c:f>Culture!$A$5:$A$8</c:f>
              <c:strCache>
                <c:ptCount val="4"/>
                <c:pt idx="0">
                  <c:v>Jul-Sep 2012</c:v>
                </c:pt>
                <c:pt idx="1">
                  <c:v>Oct-Dec 2012</c:v>
                </c:pt>
                <c:pt idx="2">
                  <c:v>Jan-Mar 2013</c:v>
                </c:pt>
                <c:pt idx="3">
                  <c:v>Apr-Jun 2013</c:v>
                </c:pt>
              </c:strCache>
            </c:strRef>
          </c:cat>
          <c:val>
            <c:numRef>
              <c:f>Culture!$C$5:$C$8</c:f>
              <c:numCache>
                <c:formatCode>General</c:formatCode>
                <c:ptCount val="4"/>
                <c:pt idx="0">
                  <c:v>36</c:v>
                </c:pt>
                <c:pt idx="1">
                  <c:v>78</c:v>
                </c:pt>
                <c:pt idx="2">
                  <c:v>76</c:v>
                </c:pt>
                <c:pt idx="3">
                  <c:v>46</c:v>
                </c:pt>
              </c:numCache>
            </c:numRef>
          </c:val>
        </c:ser>
        <c:dLbls>
          <c:showLegendKey val="0"/>
          <c:showVal val="0"/>
          <c:showCatName val="0"/>
          <c:showSerName val="0"/>
          <c:showPercent val="0"/>
          <c:showBubbleSize val="0"/>
        </c:dLbls>
        <c:gapWidth val="300"/>
        <c:axId val="36166656"/>
        <c:axId val="36172928"/>
      </c:barChart>
      <c:catAx>
        <c:axId val="36166656"/>
        <c:scaling>
          <c:orientation val="minMax"/>
        </c:scaling>
        <c:delete val="0"/>
        <c:axPos val="b"/>
        <c:title>
          <c:tx>
            <c:rich>
              <a:bodyPr/>
              <a:lstStyle/>
              <a:p>
                <a:pPr>
                  <a:defRPr/>
                </a:pPr>
                <a:r>
                  <a:rPr lang="en-US"/>
                  <a:t>Quarter</a:t>
                </a:r>
              </a:p>
            </c:rich>
          </c:tx>
          <c:overlay val="0"/>
        </c:title>
        <c:majorTickMark val="none"/>
        <c:minorTickMark val="none"/>
        <c:tickLblPos val="nextTo"/>
        <c:crossAx val="36172928"/>
        <c:crosses val="autoZero"/>
        <c:auto val="1"/>
        <c:lblAlgn val="ctr"/>
        <c:lblOffset val="100"/>
        <c:noMultiLvlLbl val="0"/>
      </c:catAx>
      <c:valAx>
        <c:axId val="36172928"/>
        <c:scaling>
          <c:orientation val="minMax"/>
        </c:scaling>
        <c:delete val="0"/>
        <c:axPos val="l"/>
        <c:majorGridlines/>
        <c:minorGridlines>
          <c:spPr>
            <a:ln>
              <a:noFill/>
            </a:ln>
          </c:spPr>
        </c:minorGridlines>
        <c:title>
          <c:tx>
            <c:rich>
              <a:bodyPr/>
              <a:lstStyle/>
              <a:p>
                <a:pPr>
                  <a:defRPr/>
                </a:pPr>
                <a:r>
                  <a:rPr lang="en-AU"/>
                  <a:t>Number of clients</a:t>
                </a:r>
              </a:p>
            </c:rich>
          </c:tx>
          <c:overlay val="0"/>
        </c:title>
        <c:numFmt formatCode="General" sourceLinked="1"/>
        <c:majorTickMark val="out"/>
        <c:minorTickMark val="none"/>
        <c:tickLblPos val="nextTo"/>
        <c:crossAx val="361666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20</Pages>
  <Words>4487</Words>
  <Characters>25580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Llewellyn Reynders</dc:creator>
  <cp:lastModifiedBy>Robyn Gaile</cp:lastModifiedBy>
  <cp:revision>30</cp:revision>
  <cp:lastPrinted>2014-06-03T22:34:00Z</cp:lastPrinted>
  <dcterms:created xsi:type="dcterms:W3CDTF">2014-05-28T05:55:00Z</dcterms:created>
  <dcterms:modified xsi:type="dcterms:W3CDTF">2014-06-04T00:51:00Z</dcterms:modified>
</cp:coreProperties>
</file>